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BE310" w14:textId="1D2DEE3F" w:rsidR="00C95457" w:rsidRDefault="00864015" w:rsidP="00864015">
      <w:pPr>
        <w:jc w:val="center"/>
        <w:rPr>
          <w:b/>
        </w:rPr>
      </w:pPr>
      <w:r>
        <w:rPr>
          <w:b/>
        </w:rPr>
        <w:t>MEMORANDUM</w:t>
      </w:r>
    </w:p>
    <w:p w14:paraId="0619BB2F" w14:textId="242EBAD0" w:rsidR="00864015" w:rsidRDefault="00864015" w:rsidP="00864015">
      <w:pPr>
        <w:jc w:val="center"/>
        <w:rPr>
          <w:b/>
        </w:rPr>
      </w:pPr>
    </w:p>
    <w:p w14:paraId="2FC19501" w14:textId="307E203B" w:rsidR="00864015" w:rsidRDefault="00864015" w:rsidP="00864015">
      <w:pPr>
        <w:jc w:val="center"/>
        <w:rPr>
          <w:b/>
        </w:rPr>
      </w:pPr>
    </w:p>
    <w:p w14:paraId="71A73B3E" w14:textId="2238E1ED" w:rsidR="00864015" w:rsidRDefault="00864015" w:rsidP="00864015">
      <w:pPr>
        <w:tabs>
          <w:tab w:val="right" w:pos="1440"/>
          <w:tab w:val="left" w:pos="1800"/>
        </w:tabs>
      </w:pPr>
      <w:r>
        <w:tab/>
        <w:t>TO:</w:t>
      </w:r>
      <w:r>
        <w:tab/>
        <w:t>Cape Elizabeth Planning Board</w:t>
      </w:r>
    </w:p>
    <w:p w14:paraId="7B3FF877" w14:textId="1EEC3504" w:rsidR="00864015" w:rsidRDefault="00864015" w:rsidP="00864015">
      <w:pPr>
        <w:tabs>
          <w:tab w:val="right" w:pos="1440"/>
          <w:tab w:val="left" w:pos="1800"/>
        </w:tabs>
      </w:pPr>
      <w:r>
        <w:tab/>
        <w:t>FROM:</w:t>
      </w:r>
      <w:r>
        <w:tab/>
        <w:t>Maureen O'Meara, Town Planner</w:t>
      </w:r>
    </w:p>
    <w:p w14:paraId="66BAA2C2" w14:textId="79E2EAEE" w:rsidR="00864015" w:rsidRDefault="00864015" w:rsidP="00864015">
      <w:pPr>
        <w:tabs>
          <w:tab w:val="right" w:pos="1440"/>
          <w:tab w:val="left" w:pos="1800"/>
        </w:tabs>
      </w:pPr>
      <w:r>
        <w:tab/>
        <w:t>DATE:</w:t>
      </w:r>
      <w:r>
        <w:tab/>
        <w:t xml:space="preserve">April </w:t>
      </w:r>
      <w:r w:rsidR="00A7410B">
        <w:t>1</w:t>
      </w:r>
      <w:r w:rsidR="00BE5FA4">
        <w:t>4</w:t>
      </w:r>
      <w:r>
        <w:t>, 2021</w:t>
      </w:r>
    </w:p>
    <w:p w14:paraId="01BABF34" w14:textId="729C091B" w:rsidR="00864015" w:rsidRDefault="00864015" w:rsidP="00864015">
      <w:pPr>
        <w:tabs>
          <w:tab w:val="right" w:pos="1440"/>
          <w:tab w:val="left" w:pos="1800"/>
        </w:tabs>
      </w:pPr>
      <w:r>
        <w:tab/>
        <w:t>SUBJECT:</w:t>
      </w:r>
      <w:r>
        <w:tab/>
        <w:t>Commercial space market assessment</w:t>
      </w:r>
    </w:p>
    <w:p w14:paraId="671646D2" w14:textId="5CA7C36C" w:rsidR="00864015" w:rsidRDefault="00864015" w:rsidP="00864015">
      <w:pPr>
        <w:tabs>
          <w:tab w:val="right" w:pos="1440"/>
          <w:tab w:val="left" w:pos="1800"/>
        </w:tabs>
      </w:pPr>
    </w:p>
    <w:p w14:paraId="2B00FDF9" w14:textId="1E2365B4" w:rsidR="00864015" w:rsidRDefault="00864015" w:rsidP="00864015">
      <w:pPr>
        <w:tabs>
          <w:tab w:val="right" w:pos="1440"/>
          <w:tab w:val="left" w:pos="1800"/>
        </w:tabs>
        <w:rPr>
          <w:u w:val="single"/>
        </w:rPr>
      </w:pPr>
      <w:r>
        <w:rPr>
          <w:u w:val="single"/>
        </w:rPr>
        <w:t>Introduction</w:t>
      </w:r>
    </w:p>
    <w:p w14:paraId="4F016236" w14:textId="032197D3" w:rsidR="00864015" w:rsidRDefault="00864015" w:rsidP="00864015">
      <w:pPr>
        <w:tabs>
          <w:tab w:val="right" w:pos="1440"/>
          <w:tab w:val="left" w:pos="1800"/>
        </w:tabs>
        <w:rPr>
          <w:u w:val="single"/>
        </w:rPr>
      </w:pPr>
    </w:p>
    <w:p w14:paraId="3ACA23D6" w14:textId="0B4F9629" w:rsidR="00864015" w:rsidRDefault="00864015" w:rsidP="00864015">
      <w:pPr>
        <w:tabs>
          <w:tab w:val="right" w:pos="1440"/>
          <w:tab w:val="left" w:pos="1800"/>
        </w:tabs>
      </w:pPr>
      <w:r>
        <w:t xml:space="preserve">A member of the Planning Board has asked for information </w:t>
      </w:r>
      <w:r w:rsidR="002E4933">
        <w:t xml:space="preserve">from commercial realtors </w:t>
      </w:r>
      <w:r>
        <w:t>about commercial space market conditions and how much change is expected post-covid.</w:t>
      </w:r>
    </w:p>
    <w:p w14:paraId="636656B0" w14:textId="68189226" w:rsidR="00864015" w:rsidRDefault="00864015" w:rsidP="00864015">
      <w:pPr>
        <w:tabs>
          <w:tab w:val="right" w:pos="1440"/>
          <w:tab w:val="left" w:pos="1800"/>
        </w:tabs>
      </w:pPr>
    </w:p>
    <w:p w14:paraId="11ABB172" w14:textId="42DDABF6" w:rsidR="00864015" w:rsidRDefault="000730D6" w:rsidP="00864015">
      <w:pPr>
        <w:tabs>
          <w:tab w:val="right" w:pos="1440"/>
          <w:tab w:val="left" w:pos="1800"/>
        </w:tabs>
        <w:rPr>
          <w:u w:val="single"/>
        </w:rPr>
      </w:pPr>
      <w:r>
        <w:rPr>
          <w:u w:val="single"/>
        </w:rPr>
        <w:t>Data Source</w:t>
      </w:r>
    </w:p>
    <w:p w14:paraId="4D1ADA7A" w14:textId="1A3C598F" w:rsidR="000730D6" w:rsidRDefault="000730D6" w:rsidP="00864015">
      <w:pPr>
        <w:tabs>
          <w:tab w:val="right" w:pos="1440"/>
          <w:tab w:val="left" w:pos="1800"/>
        </w:tabs>
        <w:rPr>
          <w:u w:val="single"/>
        </w:rPr>
      </w:pPr>
    </w:p>
    <w:p w14:paraId="18447142" w14:textId="084DCF41" w:rsidR="000730D6" w:rsidRDefault="000730D6" w:rsidP="00864015">
      <w:pPr>
        <w:tabs>
          <w:tab w:val="right" w:pos="1440"/>
          <w:tab w:val="left" w:pos="1800"/>
        </w:tabs>
      </w:pPr>
      <w:r>
        <w:t xml:space="preserve">Realtors are selling a product, and inherently skew to be optimistic about future market conditions. The Planning Board has received comments from several commercial real estate brokers, including Greg Boulos (The Boulos Company), Brandon Mitchell (Malone Commercial Brokers) and TC </w:t>
      </w:r>
      <w:proofErr w:type="spellStart"/>
      <w:r>
        <w:t>Haffenreffer</w:t>
      </w:r>
      <w:proofErr w:type="spellEnd"/>
      <w:r>
        <w:t xml:space="preserve"> (The Dunham Group). </w:t>
      </w:r>
    </w:p>
    <w:p w14:paraId="2C14A13E" w14:textId="2E7A9CF1" w:rsidR="000730D6" w:rsidRDefault="000730D6" w:rsidP="00864015">
      <w:pPr>
        <w:tabs>
          <w:tab w:val="right" w:pos="1440"/>
          <w:tab w:val="left" w:pos="1800"/>
        </w:tabs>
      </w:pPr>
    </w:p>
    <w:p w14:paraId="3CF7F8DC" w14:textId="54DCE7D2" w:rsidR="006A6AB3" w:rsidRDefault="000730D6" w:rsidP="00864015">
      <w:pPr>
        <w:tabs>
          <w:tab w:val="right" w:pos="1440"/>
          <w:tab w:val="left" w:pos="1800"/>
        </w:tabs>
      </w:pPr>
      <w:r>
        <w:t>The Boulos Company annually collects real estate data and provides a market forecast.</w:t>
      </w:r>
      <w:r w:rsidR="00744236">
        <w:t xml:space="preserve"> Because the data is not collected in relation to a specific project, it should be </w:t>
      </w:r>
      <w:r w:rsidR="00A7410B">
        <w:t xml:space="preserve">a </w:t>
      </w:r>
      <w:r w:rsidR="00BE5FA4">
        <w:t>relatively</w:t>
      </w:r>
      <w:r w:rsidR="00744236">
        <w:t xml:space="preserve"> objective assessment of market conditions.</w:t>
      </w:r>
      <w:r w:rsidR="002E4933">
        <w:t xml:space="preserve"> </w:t>
      </w:r>
    </w:p>
    <w:p w14:paraId="0B35DAEA" w14:textId="2C1BED6B" w:rsidR="006A6AB3" w:rsidRDefault="006A6AB3" w:rsidP="00864015">
      <w:pPr>
        <w:tabs>
          <w:tab w:val="right" w:pos="1440"/>
          <w:tab w:val="left" w:pos="1800"/>
        </w:tabs>
      </w:pPr>
    </w:p>
    <w:p w14:paraId="4FFE9376" w14:textId="77777777" w:rsidR="006A6AB3" w:rsidRDefault="006A6AB3" w:rsidP="006A6AB3">
      <w:pPr>
        <w:tabs>
          <w:tab w:val="right" w:pos="1440"/>
          <w:tab w:val="left" w:pos="1800"/>
        </w:tabs>
        <w:rPr>
          <w:u w:val="single"/>
        </w:rPr>
      </w:pPr>
      <w:r>
        <w:rPr>
          <w:u w:val="single"/>
        </w:rPr>
        <w:t>Class A and Class B office space</w:t>
      </w:r>
    </w:p>
    <w:p w14:paraId="746C037C" w14:textId="77777777" w:rsidR="006A6AB3" w:rsidRDefault="006A6AB3" w:rsidP="006A6AB3">
      <w:pPr>
        <w:tabs>
          <w:tab w:val="right" w:pos="1440"/>
          <w:tab w:val="left" w:pos="1800"/>
        </w:tabs>
        <w:rPr>
          <w:u w:val="single"/>
        </w:rPr>
      </w:pPr>
    </w:p>
    <w:p w14:paraId="7DB73000" w14:textId="5776FB19" w:rsidR="00744236" w:rsidRDefault="006A6AB3" w:rsidP="00864015">
      <w:pPr>
        <w:tabs>
          <w:tab w:val="right" w:pos="1440"/>
          <w:tab w:val="left" w:pos="1800"/>
        </w:tabs>
      </w:pPr>
      <w:r>
        <w:t xml:space="preserve">The following information is from the </w:t>
      </w:r>
      <w:hyperlink r:id="rId6" w:history="1">
        <w:r w:rsidRPr="006A6AB3">
          <w:rPr>
            <w:rStyle w:val="Hyperlink"/>
          </w:rPr>
          <w:t>2021 Greater Portland Market Outlook</w:t>
        </w:r>
      </w:hyperlink>
    </w:p>
    <w:p w14:paraId="2330F057" w14:textId="0A8BDDF2" w:rsidR="00FA5FF5" w:rsidRDefault="00FA5FF5" w:rsidP="00FA5FF5">
      <w:pPr>
        <w:tabs>
          <w:tab w:val="right" w:pos="1440"/>
          <w:tab w:val="left" w:pos="1800"/>
        </w:tabs>
      </w:pPr>
      <w:r>
        <w:t>prepared by the Boulos Company.</w:t>
      </w:r>
    </w:p>
    <w:p w14:paraId="1A4D36B2" w14:textId="77777777" w:rsidR="00FA5FF5" w:rsidRDefault="00FA5FF5" w:rsidP="00864015">
      <w:pPr>
        <w:tabs>
          <w:tab w:val="right" w:pos="1440"/>
          <w:tab w:val="left" w:pos="1800"/>
        </w:tabs>
      </w:pPr>
    </w:p>
    <w:p w14:paraId="2B011EBB" w14:textId="43BA149E" w:rsidR="00744236" w:rsidRDefault="00744236" w:rsidP="00864015">
      <w:pPr>
        <w:tabs>
          <w:tab w:val="right" w:pos="1440"/>
          <w:tab w:val="left" w:pos="1800"/>
        </w:tabs>
      </w:pPr>
      <w:r>
        <w:t xml:space="preserve">The Cape Elizabeth Town Center is too small to be included in the report as a suburban submarket. The chart does include a category for "all suburban markets" which </w:t>
      </w:r>
      <w:r w:rsidR="00FA5FF5">
        <w:t xml:space="preserve">might </w:t>
      </w:r>
      <w:r w:rsidR="006A6AB3">
        <w:t xml:space="preserve">provide some insight into </w:t>
      </w:r>
      <w:r w:rsidR="00FA5FF5">
        <w:t xml:space="preserve">how commercial space in the Town Center will compete. </w:t>
      </w:r>
    </w:p>
    <w:p w14:paraId="6B7F2577" w14:textId="07CD4862" w:rsidR="00FA5FF5" w:rsidRDefault="00FA5FF5" w:rsidP="00864015">
      <w:pPr>
        <w:tabs>
          <w:tab w:val="right" w:pos="1440"/>
          <w:tab w:val="left" w:pos="1800"/>
        </w:tabs>
      </w:pPr>
    </w:p>
    <w:p w14:paraId="695E9EB5" w14:textId="713661F5" w:rsidR="00FA5FF5" w:rsidRPr="00744236" w:rsidRDefault="00FA5FF5" w:rsidP="00864015">
      <w:pPr>
        <w:tabs>
          <w:tab w:val="right" w:pos="1440"/>
          <w:tab w:val="left" w:pos="1800"/>
        </w:tabs>
      </w:pPr>
      <w:r>
        <w:t>The report notes that existing leased space may be offered to sublease (gray space) in the short term, so actual vacancy rates may be higher. As a reference, The Portland downtown market typically absorbs 40,000</w:t>
      </w:r>
      <w:r>
        <w:rPr>
          <w:u w:val="single"/>
        </w:rPr>
        <w:t>+</w:t>
      </w:r>
      <w:r>
        <w:t xml:space="preserve"> sq. ft. of space annually and there is 270,000</w:t>
      </w:r>
      <w:r>
        <w:rPr>
          <w:u w:val="single"/>
        </w:rPr>
        <w:t>+</w:t>
      </w:r>
      <w:r>
        <w:t xml:space="preserve"> sq. ft. available now, plus gray space.</w:t>
      </w:r>
    </w:p>
    <w:p w14:paraId="768919D5" w14:textId="13E9018C" w:rsidR="00744236" w:rsidRDefault="00744236" w:rsidP="00864015">
      <w:pPr>
        <w:tabs>
          <w:tab w:val="right" w:pos="1440"/>
          <w:tab w:val="left" w:pos="1800"/>
        </w:tabs>
        <w:rPr>
          <w:u w:val="single"/>
        </w:rPr>
      </w:pPr>
      <w:r>
        <w:rPr>
          <w:noProof/>
          <w:u w:val="single"/>
        </w:rPr>
        <w:lastRenderedPageBreak/>
        <w:drawing>
          <wp:inline distT="0" distB="0" distL="0" distR="0" wp14:anchorId="2C8EDC8E" wp14:editId="78BCF35C">
            <wp:extent cx="5802311" cy="4444409"/>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4-06 at 3.04.38 PM.png"/>
                    <pic:cNvPicPr/>
                  </pic:nvPicPr>
                  <pic:blipFill>
                    <a:blip r:embed="rId7">
                      <a:extLst>
                        <a:ext uri="{28A0092B-C50C-407E-A947-70E740481C1C}">
                          <a14:useLocalDpi xmlns:a14="http://schemas.microsoft.com/office/drawing/2010/main" val="0"/>
                        </a:ext>
                      </a:extLst>
                    </a:blip>
                    <a:stretch>
                      <a:fillRect/>
                    </a:stretch>
                  </pic:blipFill>
                  <pic:spPr>
                    <a:xfrm>
                      <a:off x="0" y="0"/>
                      <a:ext cx="5805466" cy="4446826"/>
                    </a:xfrm>
                    <a:prstGeom prst="rect">
                      <a:avLst/>
                    </a:prstGeom>
                  </pic:spPr>
                </pic:pic>
              </a:graphicData>
            </a:graphic>
          </wp:inline>
        </w:drawing>
      </w:r>
    </w:p>
    <w:p w14:paraId="6CED0198" w14:textId="357CCBF1" w:rsidR="00744236" w:rsidRDefault="00744236" w:rsidP="00864015">
      <w:pPr>
        <w:tabs>
          <w:tab w:val="right" w:pos="1440"/>
          <w:tab w:val="left" w:pos="1800"/>
        </w:tabs>
        <w:rPr>
          <w:u w:val="single"/>
        </w:rPr>
      </w:pPr>
    </w:p>
    <w:p w14:paraId="0FA8AD40" w14:textId="77777777" w:rsidR="00744236" w:rsidRDefault="00744236" w:rsidP="00864015">
      <w:pPr>
        <w:tabs>
          <w:tab w:val="right" w:pos="1440"/>
          <w:tab w:val="left" w:pos="1800"/>
        </w:tabs>
        <w:rPr>
          <w:u w:val="single"/>
        </w:rPr>
      </w:pPr>
    </w:p>
    <w:p w14:paraId="0120F3C6" w14:textId="566B62F2" w:rsidR="00744236" w:rsidRDefault="00744236" w:rsidP="00864015">
      <w:pPr>
        <w:tabs>
          <w:tab w:val="right" w:pos="1440"/>
          <w:tab w:val="left" w:pos="1800"/>
        </w:tabs>
        <w:rPr>
          <w:u w:val="single"/>
        </w:rPr>
      </w:pPr>
      <w:r>
        <w:rPr>
          <w:noProof/>
          <w:u w:val="single"/>
        </w:rPr>
        <w:lastRenderedPageBreak/>
        <w:drawing>
          <wp:inline distT="0" distB="0" distL="0" distR="0" wp14:anchorId="62D1E2BE" wp14:editId="2BA60750">
            <wp:extent cx="5968743" cy="3806455"/>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4-06 at 3.07.11 PM.png"/>
                    <pic:cNvPicPr/>
                  </pic:nvPicPr>
                  <pic:blipFill>
                    <a:blip r:embed="rId8">
                      <a:extLst>
                        <a:ext uri="{28A0092B-C50C-407E-A947-70E740481C1C}">
                          <a14:useLocalDpi xmlns:a14="http://schemas.microsoft.com/office/drawing/2010/main" val="0"/>
                        </a:ext>
                      </a:extLst>
                    </a:blip>
                    <a:stretch>
                      <a:fillRect/>
                    </a:stretch>
                  </pic:blipFill>
                  <pic:spPr>
                    <a:xfrm>
                      <a:off x="0" y="0"/>
                      <a:ext cx="5973208" cy="3809302"/>
                    </a:xfrm>
                    <a:prstGeom prst="rect">
                      <a:avLst/>
                    </a:prstGeom>
                  </pic:spPr>
                </pic:pic>
              </a:graphicData>
            </a:graphic>
          </wp:inline>
        </w:drawing>
      </w:r>
    </w:p>
    <w:p w14:paraId="70BFC2C4" w14:textId="079FC5C7" w:rsidR="00FA5FF5" w:rsidRDefault="00FA5FF5" w:rsidP="00864015">
      <w:pPr>
        <w:tabs>
          <w:tab w:val="right" w:pos="1440"/>
          <w:tab w:val="left" w:pos="1800"/>
        </w:tabs>
        <w:rPr>
          <w:u w:val="single"/>
        </w:rPr>
      </w:pPr>
    </w:p>
    <w:p w14:paraId="17731E6A" w14:textId="72162442" w:rsidR="00FA5FF5" w:rsidRDefault="00FA5FF5" w:rsidP="00864015">
      <w:pPr>
        <w:tabs>
          <w:tab w:val="right" w:pos="1440"/>
          <w:tab w:val="left" w:pos="1800"/>
        </w:tabs>
        <w:rPr>
          <w:u w:val="single"/>
        </w:rPr>
      </w:pPr>
      <w:r>
        <w:rPr>
          <w:u w:val="single"/>
        </w:rPr>
        <w:t>What to Expect Post-Covid</w:t>
      </w:r>
    </w:p>
    <w:p w14:paraId="5679F747" w14:textId="77777777" w:rsidR="00FA5FF5" w:rsidRPr="00FA5FF5" w:rsidRDefault="00FA5FF5" w:rsidP="00864015">
      <w:pPr>
        <w:tabs>
          <w:tab w:val="right" w:pos="1440"/>
          <w:tab w:val="left" w:pos="1800"/>
        </w:tabs>
        <w:rPr>
          <w:u w:val="single"/>
        </w:rPr>
      </w:pPr>
    </w:p>
    <w:p w14:paraId="0AA29756" w14:textId="5A37F5B4" w:rsidR="00864015" w:rsidRDefault="00FA5FF5" w:rsidP="00864015">
      <w:pPr>
        <w:jc w:val="center"/>
        <w:rPr>
          <w:b/>
        </w:rPr>
      </w:pPr>
      <w:r>
        <w:rPr>
          <w:b/>
          <w:noProof/>
        </w:rPr>
        <w:drawing>
          <wp:inline distT="0" distB="0" distL="0" distR="0" wp14:anchorId="2FD9E9BC" wp14:editId="59DD6BDE">
            <wp:extent cx="5432478" cy="293458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4-06 at 3.01.37 PM.png"/>
                    <pic:cNvPicPr/>
                  </pic:nvPicPr>
                  <pic:blipFill>
                    <a:blip r:embed="rId9">
                      <a:extLst>
                        <a:ext uri="{28A0092B-C50C-407E-A947-70E740481C1C}">
                          <a14:useLocalDpi xmlns:a14="http://schemas.microsoft.com/office/drawing/2010/main" val="0"/>
                        </a:ext>
                      </a:extLst>
                    </a:blip>
                    <a:stretch>
                      <a:fillRect/>
                    </a:stretch>
                  </pic:blipFill>
                  <pic:spPr>
                    <a:xfrm>
                      <a:off x="0" y="0"/>
                      <a:ext cx="5467696" cy="2953611"/>
                    </a:xfrm>
                    <a:prstGeom prst="rect">
                      <a:avLst/>
                    </a:prstGeom>
                  </pic:spPr>
                </pic:pic>
              </a:graphicData>
            </a:graphic>
          </wp:inline>
        </w:drawing>
      </w:r>
    </w:p>
    <w:p w14:paraId="1A946C67" w14:textId="59DC541C" w:rsidR="00864015" w:rsidRDefault="00864015" w:rsidP="00864015">
      <w:pPr>
        <w:jc w:val="center"/>
        <w:rPr>
          <w:b/>
        </w:rPr>
      </w:pPr>
    </w:p>
    <w:p w14:paraId="74938D50" w14:textId="77777777" w:rsidR="00864015" w:rsidRPr="00864015" w:rsidRDefault="00864015" w:rsidP="00864015">
      <w:pPr>
        <w:jc w:val="center"/>
        <w:rPr>
          <w:b/>
        </w:rPr>
      </w:pPr>
    </w:p>
    <w:sectPr w:rsidR="00864015" w:rsidRPr="00864015" w:rsidSect="00D8243D">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FBB08" w14:textId="77777777" w:rsidR="002F7320" w:rsidRDefault="002F7320" w:rsidP="006A6AB3">
      <w:r>
        <w:separator/>
      </w:r>
    </w:p>
  </w:endnote>
  <w:endnote w:type="continuationSeparator" w:id="0">
    <w:p w14:paraId="451C4B2A" w14:textId="77777777" w:rsidR="002F7320" w:rsidRDefault="002F7320" w:rsidP="006A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2980801"/>
      <w:docPartObj>
        <w:docPartGallery w:val="Page Numbers (Bottom of Page)"/>
        <w:docPartUnique/>
      </w:docPartObj>
    </w:sdtPr>
    <w:sdtEndPr>
      <w:rPr>
        <w:rStyle w:val="PageNumber"/>
      </w:rPr>
    </w:sdtEndPr>
    <w:sdtContent>
      <w:p w14:paraId="39998B06" w14:textId="400A9EE8" w:rsidR="006A6AB3" w:rsidRDefault="006A6AB3" w:rsidP="00B55A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DF179B" w14:textId="77777777" w:rsidR="006A6AB3" w:rsidRDefault="006A6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0944274"/>
      <w:docPartObj>
        <w:docPartGallery w:val="Page Numbers (Bottom of Page)"/>
        <w:docPartUnique/>
      </w:docPartObj>
    </w:sdtPr>
    <w:sdtEndPr>
      <w:rPr>
        <w:rStyle w:val="PageNumber"/>
      </w:rPr>
    </w:sdtEndPr>
    <w:sdtContent>
      <w:p w14:paraId="0FAA481B" w14:textId="5E9C0395" w:rsidR="006A6AB3" w:rsidRDefault="006A6AB3" w:rsidP="00B55A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5EC4A2" w14:textId="77777777" w:rsidR="006A6AB3" w:rsidRDefault="006A6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45994" w14:textId="77777777" w:rsidR="002F7320" w:rsidRDefault="002F7320" w:rsidP="006A6AB3">
      <w:r>
        <w:separator/>
      </w:r>
    </w:p>
  </w:footnote>
  <w:footnote w:type="continuationSeparator" w:id="0">
    <w:p w14:paraId="74CF6875" w14:textId="77777777" w:rsidR="002F7320" w:rsidRDefault="002F7320" w:rsidP="006A6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15"/>
    <w:rsid w:val="000730D6"/>
    <w:rsid w:val="00241350"/>
    <w:rsid w:val="002E4933"/>
    <w:rsid w:val="002F7320"/>
    <w:rsid w:val="00322C3D"/>
    <w:rsid w:val="005115BE"/>
    <w:rsid w:val="00622259"/>
    <w:rsid w:val="006A6AB3"/>
    <w:rsid w:val="006F5807"/>
    <w:rsid w:val="00744236"/>
    <w:rsid w:val="00844463"/>
    <w:rsid w:val="00864015"/>
    <w:rsid w:val="009126C0"/>
    <w:rsid w:val="00A7410B"/>
    <w:rsid w:val="00BE5FA4"/>
    <w:rsid w:val="00C46DFE"/>
    <w:rsid w:val="00C95457"/>
    <w:rsid w:val="00CF1722"/>
    <w:rsid w:val="00D8243D"/>
    <w:rsid w:val="00DF1954"/>
    <w:rsid w:val="00F73C1D"/>
    <w:rsid w:val="00FA5FF5"/>
    <w:rsid w:val="00FB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8E583F"/>
  <w14:defaultImageDpi w14:val="32767"/>
  <w15:chartTrackingRefBased/>
  <w15:docId w15:val="{542CEF20-1C01-F146-BA21-73960765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AB3"/>
    <w:rPr>
      <w:color w:val="0563C1" w:themeColor="hyperlink"/>
      <w:u w:val="single"/>
    </w:rPr>
  </w:style>
  <w:style w:type="character" w:styleId="UnresolvedMention">
    <w:name w:val="Unresolved Mention"/>
    <w:basedOn w:val="DefaultParagraphFont"/>
    <w:uiPriority w:val="99"/>
    <w:rsid w:val="006A6AB3"/>
    <w:rPr>
      <w:color w:val="605E5C"/>
      <w:shd w:val="clear" w:color="auto" w:fill="E1DFDD"/>
    </w:rPr>
  </w:style>
  <w:style w:type="character" w:styleId="FollowedHyperlink">
    <w:name w:val="FollowedHyperlink"/>
    <w:basedOn w:val="DefaultParagraphFont"/>
    <w:uiPriority w:val="99"/>
    <w:semiHidden/>
    <w:unhideWhenUsed/>
    <w:rsid w:val="006A6AB3"/>
    <w:rPr>
      <w:color w:val="954F72" w:themeColor="followedHyperlink"/>
      <w:u w:val="single"/>
    </w:rPr>
  </w:style>
  <w:style w:type="paragraph" w:styleId="Footer">
    <w:name w:val="footer"/>
    <w:basedOn w:val="Normal"/>
    <w:link w:val="FooterChar"/>
    <w:uiPriority w:val="99"/>
    <w:unhideWhenUsed/>
    <w:rsid w:val="006A6AB3"/>
    <w:pPr>
      <w:tabs>
        <w:tab w:val="center" w:pos="4680"/>
        <w:tab w:val="right" w:pos="9360"/>
      </w:tabs>
    </w:pPr>
  </w:style>
  <w:style w:type="character" w:customStyle="1" w:styleId="FooterChar">
    <w:name w:val="Footer Char"/>
    <w:basedOn w:val="DefaultParagraphFont"/>
    <w:link w:val="Footer"/>
    <w:uiPriority w:val="99"/>
    <w:rsid w:val="006A6AB3"/>
  </w:style>
  <w:style w:type="character" w:styleId="PageNumber">
    <w:name w:val="page number"/>
    <w:basedOn w:val="DefaultParagraphFont"/>
    <w:uiPriority w:val="99"/>
    <w:semiHidden/>
    <w:unhideWhenUsed/>
    <w:rsid w:val="006A6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ulos.com/wp-content/uploads/2021/01/TBC2002_MarketOutlook_2021_21M-WEB.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2021-04-14T14:57:00Z</cp:lastPrinted>
  <dcterms:created xsi:type="dcterms:W3CDTF">2021-04-14T15:43:00Z</dcterms:created>
  <dcterms:modified xsi:type="dcterms:W3CDTF">2021-04-14T15:43:00Z</dcterms:modified>
</cp:coreProperties>
</file>