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66831" w14:textId="77777777" w:rsidR="004D001E" w:rsidRDefault="004D001E" w:rsidP="004D001E">
      <w:pPr>
        <w:pStyle w:val="CompanyName"/>
        <w:keepLines w:val="0"/>
        <w:spacing w:after="0" w:line="240" w:lineRule="auto"/>
        <w:rPr>
          <w:rFonts w:ascii="Times New Roman" w:hAnsi="Times New Roman"/>
          <w:color w:val="000000" w:themeColor="text1"/>
          <w:sz w:val="28"/>
          <w:szCs w:val="28"/>
        </w:rPr>
      </w:pPr>
      <w:r>
        <w:rPr>
          <w:rFonts w:ascii="Times New Roman" w:hAnsi="Times New Roman"/>
          <w:b/>
          <w:bCs/>
          <w:color w:val="000000" w:themeColor="text1"/>
          <w:sz w:val="28"/>
          <w:szCs w:val="28"/>
        </w:rPr>
        <w:t>TOWN OF ONONDAGA</w:t>
      </w:r>
    </w:p>
    <w:p w14:paraId="0A080E79" w14:textId="77777777" w:rsidR="004D001E" w:rsidRDefault="004D001E" w:rsidP="004D001E">
      <w:pPr>
        <w:spacing w:after="44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5020 Ball Road   -   Syracuse, NY  13215</w:t>
      </w:r>
    </w:p>
    <w:p w14:paraId="721FF65F" w14:textId="77777777" w:rsidR="004D001E" w:rsidRDefault="004D001E" w:rsidP="004D001E">
      <w:pPr>
        <w:pStyle w:val="CompanyName"/>
        <w:spacing w:after="0"/>
        <w:rPr>
          <w:rFonts w:eastAsia="Garamond" w:cs="Garamond"/>
          <w:b/>
          <w:bCs/>
          <w:color w:val="000000" w:themeColor="text1"/>
          <w:sz w:val="28"/>
          <w:szCs w:val="28"/>
        </w:rPr>
      </w:pPr>
      <w:r>
        <w:rPr>
          <w:rFonts w:eastAsia="Garamond" w:cs="Garamond"/>
          <w:b/>
          <w:bCs/>
          <w:color w:val="000000" w:themeColor="text1"/>
          <w:sz w:val="28"/>
          <w:szCs w:val="28"/>
        </w:rPr>
        <w:t>Zoning board of appeals</w:t>
      </w:r>
    </w:p>
    <w:p w14:paraId="4F3B801D" w14:textId="77777777" w:rsidR="004D001E" w:rsidRDefault="004D001E" w:rsidP="004D001E">
      <w:pPr>
        <w:pStyle w:val="CompanyName"/>
        <w:spacing w:after="0"/>
        <w:rPr>
          <w:rFonts w:eastAsia="Garamond" w:cs="Garamond"/>
          <w:color w:val="000000" w:themeColor="text1"/>
          <w:sz w:val="16"/>
          <w:szCs w:val="16"/>
        </w:rPr>
      </w:pPr>
      <w:r>
        <w:rPr>
          <w:rFonts w:eastAsia="Garamond" w:cs="Garamond"/>
          <w:color w:val="000000" w:themeColor="text1"/>
          <w:sz w:val="16"/>
          <w:szCs w:val="16"/>
        </w:rPr>
        <w:t>john elleman, chairman</w:t>
      </w:r>
    </w:p>
    <w:p w14:paraId="38AEBE10" w14:textId="77777777" w:rsidR="004D001E" w:rsidRDefault="004D001E" w:rsidP="004D001E">
      <w:pPr>
        <w:pStyle w:val="CompanyName"/>
        <w:spacing w:after="0"/>
        <w:rPr>
          <w:rFonts w:eastAsia="Garamond" w:cs="Garamond"/>
          <w:color w:val="000000" w:themeColor="text1"/>
          <w:sz w:val="16"/>
          <w:szCs w:val="16"/>
        </w:rPr>
      </w:pPr>
      <w:r>
        <w:rPr>
          <w:rFonts w:eastAsia="Garamond" w:cs="Garamond"/>
          <w:color w:val="000000" w:themeColor="text1"/>
          <w:sz w:val="16"/>
          <w:szCs w:val="16"/>
        </w:rPr>
        <w:t>mitchell carmody</w:t>
      </w:r>
    </w:p>
    <w:p w14:paraId="22BE4A60" w14:textId="77777777" w:rsidR="004D001E" w:rsidRDefault="004D001E" w:rsidP="004D001E">
      <w:pPr>
        <w:pStyle w:val="CompanyName"/>
        <w:spacing w:after="0"/>
        <w:rPr>
          <w:rFonts w:eastAsia="Garamond" w:cs="Garamond"/>
          <w:color w:val="000000" w:themeColor="text1"/>
          <w:sz w:val="16"/>
          <w:szCs w:val="16"/>
        </w:rPr>
      </w:pPr>
      <w:bookmarkStart w:id="0" w:name="_Hlk208917769"/>
      <w:r>
        <w:rPr>
          <w:rFonts w:eastAsia="Garamond" w:cs="Garamond"/>
          <w:color w:val="000000" w:themeColor="text1"/>
          <w:sz w:val="16"/>
          <w:szCs w:val="16"/>
        </w:rPr>
        <w:t>BÉnÉdicte Doran</w:t>
      </w:r>
    </w:p>
    <w:bookmarkEnd w:id="0"/>
    <w:p w14:paraId="79380130" w14:textId="77777777" w:rsidR="004D001E" w:rsidRDefault="004D001E" w:rsidP="004D001E">
      <w:pPr>
        <w:pStyle w:val="CompanyName"/>
        <w:spacing w:after="0"/>
        <w:rPr>
          <w:rFonts w:eastAsia="Garamond" w:cs="Garamond"/>
          <w:color w:val="000000" w:themeColor="text1"/>
          <w:sz w:val="16"/>
          <w:szCs w:val="16"/>
        </w:rPr>
      </w:pPr>
      <w:r>
        <w:rPr>
          <w:rFonts w:eastAsia="Garamond" w:cs="Garamond"/>
          <w:color w:val="000000" w:themeColor="text1"/>
          <w:sz w:val="16"/>
          <w:szCs w:val="16"/>
        </w:rPr>
        <w:t>rONALD RYAN</w:t>
      </w:r>
    </w:p>
    <w:p w14:paraId="7492971B" w14:textId="77777777" w:rsidR="004D001E" w:rsidRDefault="004D001E" w:rsidP="004D001E">
      <w:pPr>
        <w:pStyle w:val="CompanyName"/>
        <w:spacing w:after="0"/>
        <w:rPr>
          <w:rFonts w:eastAsia="Garamond" w:cs="Garamond"/>
          <w:color w:val="000000" w:themeColor="text1"/>
          <w:sz w:val="16"/>
          <w:szCs w:val="16"/>
        </w:rPr>
      </w:pPr>
      <w:r>
        <w:rPr>
          <w:rFonts w:eastAsia="Garamond" w:cs="Garamond"/>
          <w:color w:val="000000" w:themeColor="text1"/>
          <w:sz w:val="16"/>
          <w:szCs w:val="16"/>
        </w:rPr>
        <w:t>carol schattner</w:t>
      </w:r>
    </w:p>
    <w:p w14:paraId="36BBCCA3" w14:textId="77777777" w:rsidR="004D001E" w:rsidRDefault="004D001E" w:rsidP="004D001E">
      <w:pPr>
        <w:pStyle w:val="CompanyName"/>
        <w:spacing w:after="0"/>
        <w:rPr>
          <w:rFonts w:eastAsia="Garamond" w:cs="Garamond"/>
          <w:color w:val="000000" w:themeColor="text1"/>
          <w:sz w:val="16"/>
          <w:szCs w:val="16"/>
        </w:rPr>
      </w:pPr>
      <w:r>
        <w:rPr>
          <w:rFonts w:eastAsia="Garamond" w:cs="Garamond"/>
          <w:color w:val="000000" w:themeColor="text1"/>
          <w:sz w:val="16"/>
          <w:szCs w:val="16"/>
        </w:rPr>
        <w:t>NADINE BELL, ATTORNEY</w:t>
      </w:r>
    </w:p>
    <w:p w14:paraId="5DA65D5C" w14:textId="77777777" w:rsidR="004D001E" w:rsidRDefault="004D001E" w:rsidP="004D001E">
      <w:pPr>
        <w:pStyle w:val="CompanyName"/>
        <w:spacing w:after="0"/>
        <w:rPr>
          <w:rFonts w:eastAsia="Garamond" w:cs="Garamond"/>
          <w:color w:val="000000" w:themeColor="text1"/>
          <w:sz w:val="16"/>
          <w:szCs w:val="16"/>
        </w:rPr>
      </w:pPr>
      <w:r>
        <w:rPr>
          <w:rFonts w:eastAsia="Garamond" w:cs="Garamond"/>
          <w:color w:val="000000" w:themeColor="text1"/>
          <w:sz w:val="16"/>
          <w:szCs w:val="16"/>
        </w:rPr>
        <w:t>STacy Marris, Attorney</w:t>
      </w:r>
    </w:p>
    <w:p w14:paraId="52586B96" w14:textId="77777777" w:rsidR="004D001E" w:rsidRDefault="004D001E" w:rsidP="004D001E">
      <w:pPr>
        <w:pStyle w:val="CompanyName"/>
        <w:spacing w:after="0"/>
        <w:rPr>
          <w:rFonts w:eastAsia="Garamond" w:cs="Garamond"/>
          <w:color w:val="000000" w:themeColor="text1"/>
          <w:sz w:val="16"/>
          <w:szCs w:val="16"/>
        </w:rPr>
      </w:pPr>
      <w:r>
        <w:rPr>
          <w:rFonts w:eastAsia="Garamond" w:cs="Garamond"/>
          <w:color w:val="000000" w:themeColor="text1"/>
          <w:sz w:val="16"/>
          <w:szCs w:val="16"/>
        </w:rPr>
        <w:t>VICTORIA ROGERS, Secretary</w:t>
      </w:r>
    </w:p>
    <w:p w14:paraId="2524392D" w14:textId="77777777" w:rsidR="004D001E" w:rsidRDefault="004D001E" w:rsidP="004D001E">
      <w:pPr>
        <w:pStyle w:val="CompanyName"/>
        <w:spacing w:after="0"/>
        <w:rPr>
          <w:rFonts w:eastAsia="Garamond" w:cs="Garamond"/>
          <w:color w:val="000000" w:themeColor="text1"/>
          <w:sz w:val="16"/>
          <w:szCs w:val="16"/>
        </w:rPr>
      </w:pPr>
    </w:p>
    <w:p w14:paraId="79B24B76" w14:textId="77777777" w:rsidR="004D001E" w:rsidRDefault="004D001E" w:rsidP="004D001E">
      <w:pPr>
        <w:pStyle w:val="CompanyName"/>
        <w:spacing w:after="0"/>
        <w:rPr>
          <w:rFonts w:eastAsia="Garamond" w:cs="Garamond"/>
          <w:b/>
          <w:bCs/>
          <w:color w:val="000000" w:themeColor="text1"/>
          <w:sz w:val="24"/>
          <w:szCs w:val="24"/>
        </w:rPr>
      </w:pPr>
      <w:r>
        <w:rPr>
          <w:rFonts w:eastAsia="Garamond" w:cs="Garamond"/>
          <w:b/>
          <w:bCs/>
          <w:color w:val="000000" w:themeColor="text1"/>
          <w:sz w:val="24"/>
          <w:szCs w:val="24"/>
        </w:rPr>
        <w:t>Zoning Board of appeals</w:t>
      </w:r>
    </w:p>
    <w:p w14:paraId="4805DF15" w14:textId="77777777" w:rsidR="004D001E" w:rsidRDefault="004D001E" w:rsidP="004D001E">
      <w:pPr>
        <w:pStyle w:val="CompanyName"/>
        <w:spacing w:after="0"/>
        <w:jc w:val="left"/>
        <w:rPr>
          <w:rFonts w:eastAsia="Garamond" w:cs="Garamond"/>
          <w:b/>
          <w:bCs/>
          <w:color w:val="000000" w:themeColor="text1"/>
          <w:sz w:val="36"/>
          <w:szCs w:val="36"/>
        </w:rPr>
      </w:pPr>
    </w:p>
    <w:p w14:paraId="244C1427" w14:textId="4A155505" w:rsidR="004D001E" w:rsidRDefault="004D001E" w:rsidP="004D001E">
      <w:pPr>
        <w:ind w:left="2160" w:firstLine="720"/>
        <w:jc w:val="both"/>
        <w:rPr>
          <w:rFonts w:ascii="Garamond" w:eastAsia="Garamond" w:hAnsi="Garamond" w:cs="Garamond"/>
          <w:b/>
          <w:bCs/>
          <w:color w:val="000000" w:themeColor="text1"/>
          <w:sz w:val="28"/>
          <w:szCs w:val="28"/>
        </w:rPr>
      </w:pPr>
      <w:r>
        <w:rPr>
          <w:rFonts w:ascii="Garamond" w:eastAsia="Garamond" w:hAnsi="Garamond" w:cs="Garamond"/>
          <w:b/>
          <w:bCs/>
          <w:color w:val="000000" w:themeColor="text1"/>
          <w:sz w:val="28"/>
          <w:szCs w:val="28"/>
        </w:rPr>
        <w:t xml:space="preserve">Minutes of </w:t>
      </w:r>
      <w:r>
        <w:rPr>
          <w:rFonts w:ascii="Garamond" w:eastAsia="Garamond" w:hAnsi="Garamond" w:cs="Garamond"/>
          <w:b/>
          <w:bCs/>
          <w:color w:val="000000" w:themeColor="text1"/>
          <w:sz w:val="28"/>
          <w:szCs w:val="28"/>
        </w:rPr>
        <w:t>December 16</w:t>
      </w:r>
      <w:r>
        <w:rPr>
          <w:rFonts w:ascii="Garamond" w:eastAsia="Garamond" w:hAnsi="Garamond" w:cs="Garamond"/>
          <w:b/>
          <w:bCs/>
          <w:color w:val="000000" w:themeColor="text1"/>
          <w:sz w:val="28"/>
          <w:szCs w:val="28"/>
        </w:rPr>
        <w:t>, 202</w:t>
      </w:r>
      <w:r>
        <w:rPr>
          <w:rFonts w:ascii="Garamond" w:eastAsia="Garamond" w:hAnsi="Garamond" w:cs="Garamond"/>
          <w:b/>
          <w:bCs/>
          <w:color w:val="000000" w:themeColor="text1"/>
          <w:sz w:val="28"/>
          <w:szCs w:val="28"/>
        </w:rPr>
        <w:t>5</w:t>
      </w:r>
    </w:p>
    <w:p w14:paraId="15ADE8BF" w14:textId="77777777" w:rsidR="004D001E" w:rsidRDefault="004D001E" w:rsidP="004D001E">
      <w:pPr>
        <w:jc w:val="both"/>
        <w:rPr>
          <w:rFonts w:eastAsia="Garamond"/>
        </w:rPr>
      </w:pPr>
      <w:r>
        <w:rPr>
          <w:rFonts w:ascii="Garamond" w:eastAsia="Garamond" w:hAnsi="Garamond" w:cs="Garamond"/>
          <w:color w:val="000000" w:themeColor="text1"/>
          <w:sz w:val="28"/>
          <w:szCs w:val="28"/>
        </w:rPr>
        <w:t>Present:</w:t>
      </w: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r>
    </w:p>
    <w:p w14:paraId="4BC6B34A" w14:textId="77777777" w:rsidR="004D001E" w:rsidRDefault="004D001E" w:rsidP="004D001E">
      <w:pPr>
        <w:pStyle w:val="NoSpacing"/>
        <w:rPr>
          <w:rFonts w:eastAsia="Garamond"/>
        </w:rPr>
      </w:pPr>
      <w:r>
        <w:rPr>
          <w:rFonts w:eastAsia="Garamond"/>
        </w:rPr>
        <w:t>John Elleman</w:t>
      </w:r>
    </w:p>
    <w:p w14:paraId="20D8F7CD" w14:textId="77777777" w:rsidR="004D001E" w:rsidRDefault="004D001E" w:rsidP="004D001E">
      <w:pPr>
        <w:pStyle w:val="NoSpacing"/>
        <w:rPr>
          <w:rFonts w:eastAsia="Garamond"/>
        </w:rPr>
      </w:pPr>
      <w:r>
        <w:rPr>
          <w:rFonts w:eastAsia="Garamond"/>
        </w:rPr>
        <w:t>Mitch Carmody</w:t>
      </w: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t>Stacy Marris, Town Attorney</w:t>
      </w:r>
    </w:p>
    <w:p w14:paraId="3EA725C0" w14:textId="77777777" w:rsidR="004D001E" w:rsidRDefault="004D001E" w:rsidP="004D001E">
      <w:pPr>
        <w:pStyle w:val="NoSpacing"/>
        <w:rPr>
          <w:rFonts w:eastAsia="Garamond"/>
        </w:rPr>
      </w:pPr>
      <w:r>
        <w:rPr>
          <w:rFonts w:eastAsia="Garamond"/>
        </w:rPr>
        <w:t>Carol Schattner</w:t>
      </w: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r>
    </w:p>
    <w:p w14:paraId="48225E27" w14:textId="77777777" w:rsidR="004D001E" w:rsidRDefault="004D001E" w:rsidP="004D001E">
      <w:pPr>
        <w:pStyle w:val="NoSpacing"/>
        <w:rPr>
          <w:rFonts w:eastAsia="Garamond"/>
        </w:rPr>
      </w:pPr>
      <w:r>
        <w:rPr>
          <w:rFonts w:eastAsia="Garamond"/>
        </w:rPr>
        <w:t>Ronald Ryan</w:t>
      </w:r>
    </w:p>
    <w:p w14:paraId="2D600C05" w14:textId="2E5E572E" w:rsidR="004D001E" w:rsidRDefault="004D001E" w:rsidP="004D001E">
      <w:pPr>
        <w:pStyle w:val="NoSpacing"/>
        <w:rPr>
          <w:rFonts w:eastAsia="Garamond"/>
        </w:rPr>
      </w:pPr>
      <w:r>
        <w:rPr>
          <w:rFonts w:eastAsia="Garamond"/>
        </w:rPr>
        <w:t>Bénédicte Doran</w:t>
      </w: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t>Victoria Rogers, Secretary</w:t>
      </w:r>
    </w:p>
    <w:p w14:paraId="58B9EA6A" w14:textId="77777777" w:rsidR="004D001E" w:rsidRDefault="004D001E" w:rsidP="004D001E">
      <w:pPr>
        <w:pStyle w:val="NoSpacing"/>
        <w:rPr>
          <w:rFonts w:eastAsia="Garamond"/>
        </w:rPr>
      </w:pPr>
    </w:p>
    <w:p w14:paraId="6F62D319" w14:textId="77777777" w:rsidR="004D001E" w:rsidRDefault="004D001E" w:rsidP="004D001E">
      <w:pPr>
        <w:pStyle w:val="NoSpacing"/>
        <w:rPr>
          <w:rFonts w:eastAsia="Garamond"/>
        </w:rPr>
      </w:pPr>
      <w:r>
        <w:rPr>
          <w:rFonts w:eastAsia="Garamond"/>
        </w:rPr>
        <w:t>Attending:</w:t>
      </w:r>
    </w:p>
    <w:p w14:paraId="3D496A2E" w14:textId="53205344" w:rsidR="004D001E" w:rsidRDefault="004D001E" w:rsidP="004D001E">
      <w:pPr>
        <w:pStyle w:val="NoSpacing"/>
        <w:rPr>
          <w:rFonts w:eastAsia="Garamond"/>
        </w:rPr>
      </w:pPr>
      <w:r>
        <w:rPr>
          <w:rFonts w:eastAsia="Garamond"/>
        </w:rPr>
        <w:t>Vincent Ryan</w:t>
      </w:r>
      <w:r>
        <w:rPr>
          <w:rFonts w:eastAsia="Garamond"/>
        </w:rPr>
        <w:t xml:space="preserve">, </w:t>
      </w:r>
      <w:r>
        <w:rPr>
          <w:rFonts w:eastAsia="Garamond"/>
        </w:rPr>
        <w:t>representing Jon Diaz Community Center</w:t>
      </w:r>
    </w:p>
    <w:p w14:paraId="48C12360" w14:textId="77777777" w:rsidR="004D001E" w:rsidRDefault="004D001E" w:rsidP="004D001E">
      <w:pPr>
        <w:pStyle w:val="NoSpacing"/>
        <w:rPr>
          <w:rFonts w:eastAsia="Garamond"/>
        </w:rPr>
      </w:pPr>
    </w:p>
    <w:p w14:paraId="53003EAF" w14:textId="7D225032" w:rsidR="004D001E" w:rsidRDefault="004D001E" w:rsidP="004D001E">
      <w:pPr>
        <w:pStyle w:val="NoSpacing"/>
        <w:ind w:firstLine="720"/>
        <w:rPr>
          <w:rFonts w:eastAsia="Garamond"/>
        </w:rPr>
      </w:pPr>
      <w:r>
        <w:rPr>
          <w:rFonts w:eastAsia="Garamond"/>
        </w:rPr>
        <w:t xml:space="preserve">Chairman </w:t>
      </w:r>
      <w:r>
        <w:rPr>
          <w:rFonts w:eastAsia="Garamond"/>
        </w:rPr>
        <w:t>John Elleman</w:t>
      </w:r>
      <w:r>
        <w:rPr>
          <w:rFonts w:eastAsia="Garamond"/>
        </w:rPr>
        <w:t xml:space="preserve"> called the meeting to order at 7:</w:t>
      </w:r>
      <w:r>
        <w:rPr>
          <w:rFonts w:eastAsia="Garamond"/>
        </w:rPr>
        <w:t>00.</w:t>
      </w:r>
    </w:p>
    <w:p w14:paraId="3DF463EB" w14:textId="77777777" w:rsidR="004D001E" w:rsidRDefault="004D001E" w:rsidP="004D001E">
      <w:pPr>
        <w:pStyle w:val="NoSpacing"/>
        <w:ind w:firstLine="720"/>
        <w:rPr>
          <w:rFonts w:eastAsia="Garamond"/>
        </w:rPr>
      </w:pPr>
    </w:p>
    <w:p w14:paraId="4B71B117" w14:textId="604BE398" w:rsidR="004D001E" w:rsidRDefault="004D001E" w:rsidP="004D001E">
      <w:pPr>
        <w:pStyle w:val="NoSpacing"/>
        <w:rPr>
          <w:rFonts w:eastAsia="Garamond"/>
          <w:b/>
          <w:bCs/>
        </w:rPr>
      </w:pPr>
      <w:r>
        <w:rPr>
          <w:rFonts w:eastAsia="Garamond"/>
          <w:b/>
          <w:bCs/>
        </w:rPr>
        <w:t>John Diaz Community Center</w:t>
      </w:r>
      <w:r>
        <w:rPr>
          <w:rFonts w:eastAsia="Garamond"/>
          <w:b/>
          <w:bCs/>
        </w:rPr>
        <w:tab/>
      </w:r>
      <w:r>
        <w:rPr>
          <w:rFonts w:eastAsia="Garamond"/>
          <w:b/>
          <w:bCs/>
        </w:rPr>
        <w:tab/>
      </w:r>
      <w:r>
        <w:rPr>
          <w:rFonts w:eastAsia="Garamond"/>
          <w:b/>
          <w:bCs/>
        </w:rPr>
        <w:tab/>
      </w:r>
      <w:r>
        <w:rPr>
          <w:rFonts w:eastAsia="Garamond"/>
          <w:b/>
          <w:bCs/>
        </w:rPr>
        <w:tab/>
        <w:t>Are Variance</w:t>
      </w:r>
      <w:r>
        <w:rPr>
          <w:rFonts w:eastAsia="Garamond"/>
          <w:b/>
          <w:bCs/>
        </w:rPr>
        <w:t>s</w:t>
      </w:r>
      <w:r>
        <w:rPr>
          <w:rFonts w:eastAsia="Garamond"/>
          <w:b/>
          <w:bCs/>
        </w:rPr>
        <w:t xml:space="preserve"> &amp; Special Permit</w:t>
      </w:r>
    </w:p>
    <w:p w14:paraId="63A3A050" w14:textId="2EB70252" w:rsidR="004D001E" w:rsidRDefault="004D001E" w:rsidP="004D001E">
      <w:pPr>
        <w:pStyle w:val="NoSpacing"/>
        <w:rPr>
          <w:rFonts w:eastAsia="Garamond"/>
          <w:b/>
          <w:bCs/>
        </w:rPr>
      </w:pPr>
      <w:r>
        <w:rPr>
          <w:rFonts w:eastAsia="Garamond"/>
          <w:b/>
          <w:bCs/>
        </w:rPr>
        <w:tab/>
      </w:r>
    </w:p>
    <w:p w14:paraId="74D4AE25" w14:textId="77777777" w:rsidR="004D001E" w:rsidRDefault="004D001E" w:rsidP="004D001E">
      <w:pPr>
        <w:pStyle w:val="NoSpacing"/>
        <w:rPr>
          <w:rFonts w:eastAsia="Garamond"/>
        </w:rPr>
      </w:pPr>
      <w:r>
        <w:rPr>
          <w:rFonts w:eastAsia="Garamond"/>
        </w:rPr>
        <w:tab/>
        <w:t xml:space="preserve">Chairman Elleman starts by stating the Board is at the point where they’re ready to vote on the resolution drafts for the area variances and special use permit.  He notes for the record the board received a letter from ICAN dated December 12, 2025 that all board members have had a chance to review.  This letter addresses some of the concerns the board had. </w:t>
      </w:r>
    </w:p>
    <w:p w14:paraId="296AC08F" w14:textId="77777777" w:rsidR="004D001E" w:rsidRDefault="004D001E" w:rsidP="004D001E">
      <w:pPr>
        <w:pStyle w:val="NoSpacing"/>
        <w:rPr>
          <w:rFonts w:eastAsia="Garamond"/>
        </w:rPr>
      </w:pPr>
      <w:r>
        <w:rPr>
          <w:rFonts w:eastAsia="Garamond"/>
        </w:rPr>
        <w:tab/>
        <w:t>Vincent Ryan confirms they submitted the letter to the board from ICAN addressing all concerns that were brought up at the last meeting including security, operating hours and bus loading and unloading including the turning radius plan.</w:t>
      </w:r>
    </w:p>
    <w:p w14:paraId="2D03A1F2" w14:textId="77777777" w:rsidR="00375A9C" w:rsidRDefault="004D001E" w:rsidP="004D001E">
      <w:pPr>
        <w:pStyle w:val="NoSpacing"/>
        <w:rPr>
          <w:rFonts w:eastAsia="Garamond"/>
        </w:rPr>
      </w:pPr>
      <w:r>
        <w:rPr>
          <w:rFonts w:eastAsia="Garamond"/>
        </w:rPr>
        <w:tab/>
        <w:t>Chairman Ellem</w:t>
      </w:r>
      <w:r w:rsidR="00375A9C">
        <w:rPr>
          <w:rFonts w:eastAsia="Garamond"/>
        </w:rPr>
        <w:t xml:space="preserve">an closes the public hearing and first addresses the area variance resolution.  </w:t>
      </w:r>
    </w:p>
    <w:p w14:paraId="570AEB2F" w14:textId="77777777" w:rsidR="00375A9C" w:rsidRPr="00C46BEA" w:rsidRDefault="00375A9C" w:rsidP="00375A9C">
      <w:pPr>
        <w:ind w:firstLine="720"/>
      </w:pPr>
      <w:r>
        <w:rPr>
          <w:rFonts w:eastAsia="Garamond"/>
        </w:rPr>
        <w:tab/>
      </w:r>
      <w:r w:rsidR="004D001E">
        <w:rPr>
          <w:rFonts w:eastAsia="Garamond"/>
        </w:rPr>
        <w:t xml:space="preserve"> </w:t>
      </w:r>
      <w:r w:rsidRPr="00C46BEA">
        <w:t>The question of the enactment of the foregoing resolution was duly put to a vote and upon roll call, the vote was as follows:</w:t>
      </w:r>
    </w:p>
    <w:p w14:paraId="7CBFA315" w14:textId="58ED5957" w:rsidR="00375A9C" w:rsidRPr="004D001E" w:rsidRDefault="00375A9C" w:rsidP="004D001E">
      <w:pPr>
        <w:pStyle w:val="NoSpacing"/>
        <w:rPr>
          <w:rFonts w:eastAsia="Garamond"/>
        </w:rPr>
      </w:pPr>
    </w:p>
    <w:tbl>
      <w:tblPr>
        <w:tblW w:w="0" w:type="auto"/>
        <w:jc w:val="center"/>
        <w:tblLayout w:type="fixed"/>
        <w:tblCellMar>
          <w:left w:w="120" w:type="dxa"/>
          <w:right w:w="120" w:type="dxa"/>
        </w:tblCellMar>
        <w:tblLook w:val="04A0" w:firstRow="1" w:lastRow="0" w:firstColumn="1" w:lastColumn="0" w:noHBand="0" w:noVBand="1"/>
      </w:tblPr>
      <w:tblGrid>
        <w:gridCol w:w="3065"/>
        <w:gridCol w:w="2081"/>
        <w:gridCol w:w="1379"/>
        <w:gridCol w:w="1379"/>
      </w:tblGrid>
      <w:tr w:rsidR="00375A9C" w:rsidRPr="00C46BEA" w14:paraId="3BD73588" w14:textId="77777777" w:rsidTr="005A226F">
        <w:trPr>
          <w:cantSplit/>
          <w:trHeight w:val="428"/>
          <w:jc w:val="center"/>
        </w:trPr>
        <w:tc>
          <w:tcPr>
            <w:tcW w:w="3065" w:type="dxa"/>
            <w:tcMar>
              <w:top w:w="144" w:type="dxa"/>
              <w:left w:w="120" w:type="dxa"/>
              <w:bottom w:w="0" w:type="dxa"/>
              <w:right w:w="120" w:type="dxa"/>
            </w:tcMar>
            <w:hideMark/>
          </w:tcPr>
          <w:p w14:paraId="5EE0624D" w14:textId="52DFEEF5" w:rsidR="00375A9C" w:rsidRPr="00C46BEA" w:rsidRDefault="00375A9C" w:rsidP="005A226F">
            <w:pPr>
              <w:rPr>
                <w:b/>
              </w:rPr>
            </w:pPr>
            <w:r>
              <w:rPr>
                <w:b/>
              </w:rPr>
              <w:t>Bénédicte Doran</w:t>
            </w:r>
            <w:r>
              <w:rPr>
                <w:b/>
              </w:rPr>
              <w:t xml:space="preserve"> </w:t>
            </w:r>
          </w:p>
        </w:tc>
        <w:tc>
          <w:tcPr>
            <w:tcW w:w="2081" w:type="dxa"/>
            <w:tcMar>
              <w:top w:w="144" w:type="dxa"/>
              <w:left w:w="120" w:type="dxa"/>
              <w:bottom w:w="0" w:type="dxa"/>
              <w:right w:w="120" w:type="dxa"/>
            </w:tcMar>
            <w:hideMark/>
          </w:tcPr>
          <w:p w14:paraId="6127FF9C" w14:textId="77777777" w:rsidR="00375A9C" w:rsidRPr="00C46BEA" w:rsidRDefault="00375A9C" w:rsidP="005A226F">
            <w:pPr>
              <w:rPr>
                <w:b/>
              </w:rPr>
            </w:pPr>
            <w:r w:rsidRPr="00C46BEA">
              <w:rPr>
                <w:b/>
              </w:rPr>
              <w:t>Board member</w:t>
            </w:r>
          </w:p>
        </w:tc>
        <w:tc>
          <w:tcPr>
            <w:tcW w:w="1379" w:type="dxa"/>
            <w:tcMar>
              <w:top w:w="144" w:type="dxa"/>
              <w:left w:w="120" w:type="dxa"/>
              <w:bottom w:w="0" w:type="dxa"/>
              <w:right w:w="120" w:type="dxa"/>
            </w:tcMar>
            <w:hideMark/>
          </w:tcPr>
          <w:p w14:paraId="5685E321" w14:textId="77777777" w:rsidR="00375A9C" w:rsidRPr="00C46BEA" w:rsidRDefault="00375A9C" w:rsidP="005A226F">
            <w:pPr>
              <w:rPr>
                <w:b/>
              </w:rPr>
            </w:pPr>
            <w:r w:rsidRPr="00C46BEA">
              <w:rPr>
                <w:b/>
              </w:rPr>
              <w:t>Voted</w:t>
            </w:r>
          </w:p>
        </w:tc>
        <w:tc>
          <w:tcPr>
            <w:tcW w:w="1379" w:type="dxa"/>
            <w:tcMar>
              <w:top w:w="144" w:type="dxa"/>
              <w:left w:w="120" w:type="dxa"/>
              <w:bottom w:w="0" w:type="dxa"/>
              <w:right w:w="120" w:type="dxa"/>
            </w:tcMar>
            <w:hideMark/>
          </w:tcPr>
          <w:p w14:paraId="6967528F" w14:textId="77777777" w:rsidR="00375A9C" w:rsidRPr="00C46BEA" w:rsidRDefault="00375A9C" w:rsidP="005A226F">
            <w:pPr>
              <w:rPr>
                <w:b/>
              </w:rPr>
            </w:pPr>
            <w:r w:rsidRPr="00C46BEA">
              <w:rPr>
                <w:b/>
              </w:rPr>
              <w:t>Yes</w:t>
            </w:r>
          </w:p>
        </w:tc>
      </w:tr>
      <w:tr w:rsidR="00375A9C" w:rsidRPr="00C46BEA" w14:paraId="7C5E6F62" w14:textId="77777777" w:rsidTr="005A226F">
        <w:trPr>
          <w:cantSplit/>
          <w:trHeight w:val="24"/>
          <w:jc w:val="center"/>
        </w:trPr>
        <w:tc>
          <w:tcPr>
            <w:tcW w:w="3065" w:type="dxa"/>
            <w:tcMar>
              <w:top w:w="144" w:type="dxa"/>
              <w:left w:w="120" w:type="dxa"/>
              <w:bottom w:w="0" w:type="dxa"/>
              <w:right w:w="120" w:type="dxa"/>
            </w:tcMar>
            <w:hideMark/>
          </w:tcPr>
          <w:p w14:paraId="4A2D665E" w14:textId="77777777" w:rsidR="00375A9C" w:rsidRPr="00C46BEA" w:rsidRDefault="00375A9C" w:rsidP="005A226F">
            <w:pPr>
              <w:rPr>
                <w:b/>
              </w:rPr>
            </w:pPr>
            <w:r>
              <w:rPr>
                <w:b/>
              </w:rPr>
              <w:t>Carol Schattner</w:t>
            </w:r>
          </w:p>
        </w:tc>
        <w:tc>
          <w:tcPr>
            <w:tcW w:w="2081" w:type="dxa"/>
            <w:tcMar>
              <w:top w:w="144" w:type="dxa"/>
              <w:left w:w="120" w:type="dxa"/>
              <w:bottom w:w="0" w:type="dxa"/>
              <w:right w:w="120" w:type="dxa"/>
            </w:tcMar>
            <w:hideMark/>
          </w:tcPr>
          <w:p w14:paraId="4ABCF452" w14:textId="77777777" w:rsidR="00375A9C" w:rsidRPr="00C46BEA" w:rsidRDefault="00375A9C" w:rsidP="005A226F">
            <w:pPr>
              <w:rPr>
                <w:b/>
              </w:rPr>
            </w:pPr>
            <w:r w:rsidRPr="00C46BEA">
              <w:rPr>
                <w:b/>
              </w:rPr>
              <w:t>Board member</w:t>
            </w:r>
          </w:p>
        </w:tc>
        <w:tc>
          <w:tcPr>
            <w:tcW w:w="1379" w:type="dxa"/>
            <w:tcMar>
              <w:top w:w="144" w:type="dxa"/>
              <w:left w:w="120" w:type="dxa"/>
              <w:bottom w:w="0" w:type="dxa"/>
              <w:right w:w="120" w:type="dxa"/>
            </w:tcMar>
            <w:hideMark/>
          </w:tcPr>
          <w:p w14:paraId="4DF5D544" w14:textId="77777777" w:rsidR="00375A9C" w:rsidRPr="00C46BEA" w:rsidRDefault="00375A9C" w:rsidP="005A226F">
            <w:pPr>
              <w:rPr>
                <w:b/>
              </w:rPr>
            </w:pPr>
            <w:r w:rsidRPr="00C46BEA">
              <w:rPr>
                <w:b/>
              </w:rPr>
              <w:t>Voted</w:t>
            </w:r>
          </w:p>
        </w:tc>
        <w:tc>
          <w:tcPr>
            <w:tcW w:w="1379" w:type="dxa"/>
            <w:tcMar>
              <w:top w:w="144" w:type="dxa"/>
              <w:left w:w="120" w:type="dxa"/>
              <w:bottom w:w="0" w:type="dxa"/>
              <w:right w:w="120" w:type="dxa"/>
            </w:tcMar>
            <w:hideMark/>
          </w:tcPr>
          <w:p w14:paraId="6B03659F" w14:textId="77777777" w:rsidR="00375A9C" w:rsidRPr="00C46BEA" w:rsidRDefault="00375A9C" w:rsidP="005A226F">
            <w:pPr>
              <w:rPr>
                <w:b/>
              </w:rPr>
            </w:pPr>
            <w:r w:rsidRPr="00C46BEA">
              <w:rPr>
                <w:b/>
              </w:rPr>
              <w:t>Yes</w:t>
            </w:r>
          </w:p>
        </w:tc>
      </w:tr>
      <w:tr w:rsidR="00375A9C" w:rsidRPr="00C46BEA" w14:paraId="18465444" w14:textId="77777777" w:rsidTr="005A226F">
        <w:trPr>
          <w:cantSplit/>
          <w:trHeight w:val="428"/>
          <w:jc w:val="center"/>
        </w:trPr>
        <w:tc>
          <w:tcPr>
            <w:tcW w:w="3065" w:type="dxa"/>
            <w:tcMar>
              <w:top w:w="144" w:type="dxa"/>
              <w:left w:w="120" w:type="dxa"/>
              <w:bottom w:w="0" w:type="dxa"/>
              <w:right w:w="120" w:type="dxa"/>
            </w:tcMar>
          </w:tcPr>
          <w:p w14:paraId="4DE3EEB9" w14:textId="77777777" w:rsidR="00375A9C" w:rsidRPr="00C46BEA" w:rsidRDefault="00375A9C" w:rsidP="005A226F">
            <w:pPr>
              <w:rPr>
                <w:b/>
              </w:rPr>
            </w:pPr>
            <w:r>
              <w:rPr>
                <w:b/>
              </w:rPr>
              <w:t>Mitch Carmody</w:t>
            </w:r>
          </w:p>
        </w:tc>
        <w:tc>
          <w:tcPr>
            <w:tcW w:w="2081" w:type="dxa"/>
            <w:tcMar>
              <w:top w:w="144" w:type="dxa"/>
              <w:left w:w="120" w:type="dxa"/>
              <w:bottom w:w="0" w:type="dxa"/>
              <w:right w:w="120" w:type="dxa"/>
            </w:tcMar>
          </w:tcPr>
          <w:p w14:paraId="3C4A0D3E" w14:textId="77777777" w:rsidR="00375A9C" w:rsidRPr="00C46BEA" w:rsidRDefault="00375A9C" w:rsidP="005A226F">
            <w:pPr>
              <w:rPr>
                <w:b/>
              </w:rPr>
            </w:pPr>
            <w:r>
              <w:rPr>
                <w:b/>
              </w:rPr>
              <w:t>Board member</w:t>
            </w:r>
          </w:p>
        </w:tc>
        <w:tc>
          <w:tcPr>
            <w:tcW w:w="1379" w:type="dxa"/>
            <w:tcMar>
              <w:top w:w="144" w:type="dxa"/>
              <w:left w:w="120" w:type="dxa"/>
              <w:bottom w:w="0" w:type="dxa"/>
              <w:right w:w="120" w:type="dxa"/>
            </w:tcMar>
          </w:tcPr>
          <w:p w14:paraId="7FEADBC9" w14:textId="77777777" w:rsidR="00375A9C" w:rsidRPr="00C46BEA" w:rsidRDefault="00375A9C" w:rsidP="005A226F">
            <w:pPr>
              <w:rPr>
                <w:b/>
              </w:rPr>
            </w:pPr>
            <w:r w:rsidRPr="00C46BEA">
              <w:rPr>
                <w:b/>
              </w:rPr>
              <w:t>Voted</w:t>
            </w:r>
          </w:p>
        </w:tc>
        <w:tc>
          <w:tcPr>
            <w:tcW w:w="1379" w:type="dxa"/>
            <w:tcMar>
              <w:top w:w="144" w:type="dxa"/>
              <w:left w:w="120" w:type="dxa"/>
              <w:bottom w:w="0" w:type="dxa"/>
              <w:right w:w="120" w:type="dxa"/>
            </w:tcMar>
          </w:tcPr>
          <w:p w14:paraId="6FFEAD2C" w14:textId="77777777" w:rsidR="00375A9C" w:rsidRPr="00C46BEA" w:rsidRDefault="00375A9C" w:rsidP="005A226F">
            <w:pPr>
              <w:rPr>
                <w:b/>
              </w:rPr>
            </w:pPr>
            <w:r>
              <w:rPr>
                <w:b/>
              </w:rPr>
              <w:t>Yes</w:t>
            </w:r>
          </w:p>
        </w:tc>
      </w:tr>
      <w:tr w:rsidR="00375A9C" w14:paraId="0CC1F3EE" w14:textId="77777777" w:rsidTr="005A226F">
        <w:trPr>
          <w:cantSplit/>
          <w:trHeight w:val="428"/>
          <w:jc w:val="center"/>
        </w:trPr>
        <w:tc>
          <w:tcPr>
            <w:tcW w:w="3065" w:type="dxa"/>
            <w:tcMar>
              <w:top w:w="144" w:type="dxa"/>
              <w:left w:w="120" w:type="dxa"/>
              <w:bottom w:w="0" w:type="dxa"/>
              <w:right w:w="120" w:type="dxa"/>
            </w:tcMar>
          </w:tcPr>
          <w:p w14:paraId="5D1B821A" w14:textId="5D5A746C" w:rsidR="00375A9C" w:rsidRDefault="00375A9C" w:rsidP="005A226F">
            <w:pPr>
              <w:rPr>
                <w:b/>
              </w:rPr>
            </w:pPr>
            <w:r>
              <w:rPr>
                <w:b/>
              </w:rPr>
              <w:t>Ron Ryan</w:t>
            </w:r>
          </w:p>
        </w:tc>
        <w:tc>
          <w:tcPr>
            <w:tcW w:w="2081" w:type="dxa"/>
            <w:tcMar>
              <w:top w:w="144" w:type="dxa"/>
              <w:left w:w="120" w:type="dxa"/>
              <w:bottom w:w="0" w:type="dxa"/>
              <w:right w:w="120" w:type="dxa"/>
            </w:tcMar>
          </w:tcPr>
          <w:p w14:paraId="035B11A4" w14:textId="77777777" w:rsidR="00375A9C" w:rsidRDefault="00375A9C" w:rsidP="005A226F">
            <w:pPr>
              <w:rPr>
                <w:b/>
              </w:rPr>
            </w:pPr>
            <w:r>
              <w:rPr>
                <w:b/>
              </w:rPr>
              <w:t>Board member</w:t>
            </w:r>
          </w:p>
        </w:tc>
        <w:tc>
          <w:tcPr>
            <w:tcW w:w="1379" w:type="dxa"/>
            <w:tcMar>
              <w:top w:w="144" w:type="dxa"/>
              <w:left w:w="120" w:type="dxa"/>
              <w:bottom w:w="0" w:type="dxa"/>
              <w:right w:w="120" w:type="dxa"/>
            </w:tcMar>
          </w:tcPr>
          <w:p w14:paraId="57C06D29" w14:textId="0C19B3F6" w:rsidR="00375A9C" w:rsidRDefault="00375A9C" w:rsidP="005A226F">
            <w:pPr>
              <w:rPr>
                <w:b/>
              </w:rPr>
            </w:pPr>
            <w:r>
              <w:rPr>
                <w:b/>
              </w:rPr>
              <w:t>Voted</w:t>
            </w:r>
          </w:p>
        </w:tc>
        <w:tc>
          <w:tcPr>
            <w:tcW w:w="1379" w:type="dxa"/>
            <w:tcMar>
              <w:top w:w="144" w:type="dxa"/>
              <w:left w:w="120" w:type="dxa"/>
              <w:bottom w:w="0" w:type="dxa"/>
              <w:right w:w="120" w:type="dxa"/>
            </w:tcMar>
          </w:tcPr>
          <w:p w14:paraId="0C289AA9" w14:textId="3E77B96E" w:rsidR="00375A9C" w:rsidRDefault="00375A9C" w:rsidP="005A226F">
            <w:pPr>
              <w:rPr>
                <w:b/>
              </w:rPr>
            </w:pPr>
            <w:r>
              <w:rPr>
                <w:b/>
              </w:rPr>
              <w:t>Yes</w:t>
            </w:r>
          </w:p>
        </w:tc>
      </w:tr>
      <w:tr w:rsidR="00375A9C" w:rsidRPr="00C46BEA" w14:paraId="497AFBD4" w14:textId="77777777" w:rsidTr="005A226F">
        <w:trPr>
          <w:cantSplit/>
          <w:trHeight w:val="428"/>
          <w:jc w:val="center"/>
        </w:trPr>
        <w:tc>
          <w:tcPr>
            <w:tcW w:w="3065" w:type="dxa"/>
            <w:tcMar>
              <w:top w:w="144" w:type="dxa"/>
              <w:left w:w="120" w:type="dxa"/>
              <w:bottom w:w="0" w:type="dxa"/>
              <w:right w:w="120" w:type="dxa"/>
            </w:tcMar>
            <w:hideMark/>
          </w:tcPr>
          <w:p w14:paraId="07B79D39" w14:textId="77777777" w:rsidR="00375A9C" w:rsidRPr="00C46BEA" w:rsidRDefault="00375A9C" w:rsidP="005A226F">
            <w:pPr>
              <w:rPr>
                <w:b/>
              </w:rPr>
            </w:pPr>
            <w:r>
              <w:rPr>
                <w:b/>
              </w:rPr>
              <w:t>John Elleman</w:t>
            </w:r>
          </w:p>
        </w:tc>
        <w:tc>
          <w:tcPr>
            <w:tcW w:w="2081" w:type="dxa"/>
            <w:tcMar>
              <w:top w:w="144" w:type="dxa"/>
              <w:left w:w="120" w:type="dxa"/>
              <w:bottom w:w="0" w:type="dxa"/>
              <w:right w:w="120" w:type="dxa"/>
            </w:tcMar>
            <w:hideMark/>
          </w:tcPr>
          <w:p w14:paraId="2A174A2E" w14:textId="77777777" w:rsidR="00375A9C" w:rsidRPr="00C46BEA" w:rsidRDefault="00375A9C" w:rsidP="005A226F">
            <w:pPr>
              <w:rPr>
                <w:b/>
              </w:rPr>
            </w:pPr>
            <w:r>
              <w:rPr>
                <w:b/>
              </w:rPr>
              <w:t>Chairperson</w:t>
            </w:r>
          </w:p>
        </w:tc>
        <w:tc>
          <w:tcPr>
            <w:tcW w:w="1379" w:type="dxa"/>
            <w:tcMar>
              <w:top w:w="144" w:type="dxa"/>
              <w:left w:w="120" w:type="dxa"/>
              <w:bottom w:w="0" w:type="dxa"/>
              <w:right w:w="120" w:type="dxa"/>
            </w:tcMar>
            <w:hideMark/>
          </w:tcPr>
          <w:p w14:paraId="5A85A292" w14:textId="2110180C" w:rsidR="00375A9C" w:rsidRPr="00C46BEA" w:rsidRDefault="00375A9C" w:rsidP="005A226F">
            <w:pPr>
              <w:rPr>
                <w:b/>
              </w:rPr>
            </w:pPr>
            <w:r>
              <w:rPr>
                <w:b/>
              </w:rPr>
              <w:t>Voted</w:t>
            </w:r>
          </w:p>
        </w:tc>
        <w:tc>
          <w:tcPr>
            <w:tcW w:w="1379" w:type="dxa"/>
            <w:tcMar>
              <w:top w:w="144" w:type="dxa"/>
              <w:left w:w="120" w:type="dxa"/>
              <w:bottom w:w="0" w:type="dxa"/>
              <w:right w:w="120" w:type="dxa"/>
            </w:tcMar>
            <w:hideMark/>
          </w:tcPr>
          <w:p w14:paraId="1B5E892C" w14:textId="14C12E49" w:rsidR="00375A9C" w:rsidRDefault="00375A9C" w:rsidP="005A226F">
            <w:pPr>
              <w:rPr>
                <w:b/>
              </w:rPr>
            </w:pPr>
            <w:r>
              <w:rPr>
                <w:b/>
              </w:rPr>
              <w:t>Yes</w:t>
            </w:r>
          </w:p>
          <w:p w14:paraId="32143802" w14:textId="77777777" w:rsidR="00375A9C" w:rsidRDefault="00375A9C" w:rsidP="00375A9C">
            <w:pPr>
              <w:jc w:val="both"/>
              <w:rPr>
                <w:b/>
              </w:rPr>
            </w:pPr>
          </w:p>
          <w:p w14:paraId="3BE7DFA1" w14:textId="77777777" w:rsidR="00375A9C" w:rsidRPr="00C46BEA" w:rsidRDefault="00375A9C" w:rsidP="005A226F">
            <w:pPr>
              <w:jc w:val="both"/>
              <w:rPr>
                <w:b/>
              </w:rPr>
            </w:pPr>
          </w:p>
        </w:tc>
      </w:tr>
    </w:tbl>
    <w:p w14:paraId="78C2C801" w14:textId="77777777" w:rsidR="00391E5D" w:rsidRPr="00391E5D" w:rsidRDefault="00391E5D" w:rsidP="00391E5D">
      <w:pPr>
        <w:spacing w:after="0"/>
        <w:ind w:firstLine="720"/>
      </w:pPr>
      <w:r w:rsidRPr="00391E5D">
        <w:t>Following approval of the Area Variance, Chairman Elleman opened discussion on the Special Use Permit.</w:t>
      </w:r>
    </w:p>
    <w:p w14:paraId="637FCA85" w14:textId="77777777" w:rsidR="00391E5D" w:rsidRPr="00391E5D" w:rsidRDefault="00391E5D" w:rsidP="00391E5D">
      <w:pPr>
        <w:spacing w:after="0"/>
        <w:ind w:firstLine="720"/>
      </w:pPr>
      <w:r w:rsidRPr="00391E5D">
        <w:t>Board member Ron Ryan proposed several modifications to the draft resolution, particularly in response to concerns raised by the Planning Board regarding vehicle and pedestrian traffic. Mr. Ryan stated that the Board had carefully considered those concerns and believes that specific traffic controls and circulation measures can appropriately be addressed during the site plan review phase, provided they are consistent with Section 503.4.1 of the New York State Fire Code.</w:t>
      </w:r>
    </w:p>
    <w:p w14:paraId="38892968" w14:textId="77777777" w:rsidR="00391E5D" w:rsidRPr="00391E5D" w:rsidRDefault="00391E5D" w:rsidP="00391E5D">
      <w:pPr>
        <w:spacing w:after="0"/>
        <w:ind w:firstLine="720"/>
      </w:pPr>
      <w:r w:rsidRPr="00391E5D">
        <w:t>Chairman Elleman concurred, noting that it would exceed the Zoning Board’s authority to impose detailed traffic design specifications that are more properly within the purview of the Town Board during site plan approval.</w:t>
      </w:r>
    </w:p>
    <w:p w14:paraId="01065380" w14:textId="77777777" w:rsidR="00391E5D" w:rsidRPr="00391E5D" w:rsidRDefault="00391E5D" w:rsidP="00391E5D">
      <w:pPr>
        <w:spacing w:after="0"/>
        <w:ind w:firstLine="720"/>
      </w:pPr>
      <w:r w:rsidRPr="00391E5D">
        <w:t>Chairman Elleman also referenced the portion of the resolution addressing parking. He explained that the Board finds the parking variance appropriate, given that a significant portion of the individuals utilizing the property are teenagers and only a percentage of them will be of driving age. He further stated that there appears to be potential for additional parking should it become necessary in the future. Mr. Ryan added that the Board also considered the availability of public transportation serving the area.</w:t>
      </w:r>
    </w:p>
    <w:p w14:paraId="6ABE0B5F" w14:textId="77777777" w:rsidR="00391E5D" w:rsidRPr="00391E5D" w:rsidRDefault="00391E5D" w:rsidP="00391E5D">
      <w:pPr>
        <w:spacing w:after="0"/>
        <w:ind w:firstLine="720"/>
      </w:pPr>
      <w:r w:rsidRPr="00391E5D">
        <w:t>Mr. Ryan clarified to the applicant’s representatives that it is beyond the Zoning Board’s authority to mandate specific construction materials, such as requiring concrete sidewalks. Instead, the resolution will state that sidewalks must comply with the Americans with Disabilities Act (ADA) and be installed in accordance with generally accepted industry standards.</w:t>
      </w:r>
    </w:p>
    <w:p w14:paraId="17C72C5C" w14:textId="77777777" w:rsidR="00391E5D" w:rsidRPr="00391E5D" w:rsidRDefault="00391E5D" w:rsidP="00391E5D">
      <w:pPr>
        <w:spacing w:after="0"/>
        <w:ind w:firstLine="720"/>
      </w:pPr>
      <w:r w:rsidRPr="00391E5D">
        <w:t>Mr. Ryan also recommended revising the language concerning hours of operation to provide greater flexibility while maintaining reasonable limits, proposing that the resolution state that hours shall not exceed Monday through Sunday, 6:00 a.m. to 10:00 p.m.</w:t>
      </w:r>
    </w:p>
    <w:p w14:paraId="4EFD7321" w14:textId="77777777" w:rsidR="00391E5D" w:rsidRPr="00391E5D" w:rsidRDefault="00391E5D" w:rsidP="00391E5D">
      <w:pPr>
        <w:spacing w:after="0"/>
        <w:ind w:firstLine="720"/>
      </w:pPr>
      <w:r w:rsidRPr="00391E5D">
        <w:lastRenderedPageBreak/>
        <w:t>Finally, Mr. Ryan addressed language in the draft resolution stating that buses shall use the designated pickup and drop-off loop and are prohibited from parking on-site for “extended periods.” He recommended removing the phrase “extended periods” on the grounds that it lacks specificity and could create ambiguity in enforcement.</w:t>
      </w:r>
    </w:p>
    <w:p w14:paraId="6C368B2F" w14:textId="77777777" w:rsidR="00391E5D" w:rsidRPr="00391E5D" w:rsidRDefault="00391E5D" w:rsidP="00391E5D">
      <w:pPr>
        <w:spacing w:after="0"/>
        <w:ind w:firstLine="720"/>
      </w:pPr>
      <w:r w:rsidRPr="00391E5D">
        <w:t>With these proposed amendments incorporated, Mr. Ryan made a motion to approve the Special Use Permit resolution as revised.</w:t>
      </w:r>
    </w:p>
    <w:p w14:paraId="6BEA6E11" w14:textId="3166E366" w:rsidR="004B7F43" w:rsidRPr="00C46BEA" w:rsidRDefault="004B7F43" w:rsidP="004B7F43">
      <w:pPr>
        <w:spacing w:after="0"/>
        <w:ind w:firstLine="720"/>
      </w:pPr>
      <w:r w:rsidRPr="00C46BEA">
        <w:t>The question of the enactment of the foregoing resolution was duly put to a vote and upon roll call, the vote was as follows:</w:t>
      </w:r>
    </w:p>
    <w:p w14:paraId="1B8D7CB0" w14:textId="77777777" w:rsidR="004B7F43" w:rsidRPr="004D001E" w:rsidRDefault="004B7F43" w:rsidP="004B7F43">
      <w:pPr>
        <w:pStyle w:val="NoSpacing"/>
        <w:rPr>
          <w:rFonts w:eastAsia="Garamond"/>
        </w:rPr>
      </w:pPr>
    </w:p>
    <w:tbl>
      <w:tblPr>
        <w:tblW w:w="0" w:type="auto"/>
        <w:jc w:val="center"/>
        <w:tblLayout w:type="fixed"/>
        <w:tblCellMar>
          <w:left w:w="120" w:type="dxa"/>
          <w:right w:w="120" w:type="dxa"/>
        </w:tblCellMar>
        <w:tblLook w:val="04A0" w:firstRow="1" w:lastRow="0" w:firstColumn="1" w:lastColumn="0" w:noHBand="0" w:noVBand="1"/>
      </w:tblPr>
      <w:tblGrid>
        <w:gridCol w:w="3065"/>
        <w:gridCol w:w="2081"/>
        <w:gridCol w:w="1379"/>
        <w:gridCol w:w="1379"/>
      </w:tblGrid>
      <w:tr w:rsidR="004B7F43" w:rsidRPr="00C46BEA" w14:paraId="124FDF4A" w14:textId="77777777" w:rsidTr="005A226F">
        <w:trPr>
          <w:cantSplit/>
          <w:trHeight w:val="428"/>
          <w:jc w:val="center"/>
        </w:trPr>
        <w:tc>
          <w:tcPr>
            <w:tcW w:w="3065" w:type="dxa"/>
            <w:tcMar>
              <w:top w:w="144" w:type="dxa"/>
              <w:left w:w="120" w:type="dxa"/>
              <w:bottom w:w="0" w:type="dxa"/>
              <w:right w:w="120" w:type="dxa"/>
            </w:tcMar>
            <w:hideMark/>
          </w:tcPr>
          <w:p w14:paraId="1DF51ED1" w14:textId="7CF6885E" w:rsidR="004B7F43" w:rsidRPr="00C46BEA" w:rsidRDefault="004B7F43" w:rsidP="005A226F">
            <w:pPr>
              <w:rPr>
                <w:b/>
              </w:rPr>
            </w:pPr>
            <w:r>
              <w:rPr>
                <w:b/>
              </w:rPr>
              <w:t>Ron Ryan</w:t>
            </w:r>
          </w:p>
        </w:tc>
        <w:tc>
          <w:tcPr>
            <w:tcW w:w="2081" w:type="dxa"/>
            <w:tcMar>
              <w:top w:w="144" w:type="dxa"/>
              <w:left w:w="120" w:type="dxa"/>
              <w:bottom w:w="0" w:type="dxa"/>
              <w:right w:w="120" w:type="dxa"/>
            </w:tcMar>
            <w:hideMark/>
          </w:tcPr>
          <w:p w14:paraId="5FABF836" w14:textId="77777777" w:rsidR="004B7F43" w:rsidRPr="00C46BEA" w:rsidRDefault="004B7F43" w:rsidP="005A226F">
            <w:pPr>
              <w:rPr>
                <w:b/>
              </w:rPr>
            </w:pPr>
            <w:r w:rsidRPr="00C46BEA">
              <w:rPr>
                <w:b/>
              </w:rPr>
              <w:t>Board member</w:t>
            </w:r>
          </w:p>
        </w:tc>
        <w:tc>
          <w:tcPr>
            <w:tcW w:w="1379" w:type="dxa"/>
            <w:tcMar>
              <w:top w:w="144" w:type="dxa"/>
              <w:left w:w="120" w:type="dxa"/>
              <w:bottom w:w="0" w:type="dxa"/>
              <w:right w:w="120" w:type="dxa"/>
            </w:tcMar>
            <w:hideMark/>
          </w:tcPr>
          <w:p w14:paraId="635E29F9" w14:textId="77777777" w:rsidR="004B7F43" w:rsidRPr="00C46BEA" w:rsidRDefault="004B7F43" w:rsidP="005A226F">
            <w:pPr>
              <w:rPr>
                <w:b/>
              </w:rPr>
            </w:pPr>
            <w:r w:rsidRPr="00C46BEA">
              <w:rPr>
                <w:b/>
              </w:rPr>
              <w:t>Voted</w:t>
            </w:r>
          </w:p>
        </w:tc>
        <w:tc>
          <w:tcPr>
            <w:tcW w:w="1379" w:type="dxa"/>
            <w:tcMar>
              <w:top w:w="144" w:type="dxa"/>
              <w:left w:w="120" w:type="dxa"/>
              <w:bottom w:w="0" w:type="dxa"/>
              <w:right w:w="120" w:type="dxa"/>
            </w:tcMar>
            <w:hideMark/>
          </w:tcPr>
          <w:p w14:paraId="2E7D270D" w14:textId="77777777" w:rsidR="004B7F43" w:rsidRPr="00C46BEA" w:rsidRDefault="004B7F43" w:rsidP="005A226F">
            <w:pPr>
              <w:rPr>
                <w:b/>
              </w:rPr>
            </w:pPr>
            <w:r w:rsidRPr="00C46BEA">
              <w:rPr>
                <w:b/>
              </w:rPr>
              <w:t>Yes</w:t>
            </w:r>
          </w:p>
        </w:tc>
      </w:tr>
      <w:tr w:rsidR="004B7F43" w:rsidRPr="00C46BEA" w14:paraId="3DA537A1" w14:textId="77777777" w:rsidTr="005A226F">
        <w:trPr>
          <w:cantSplit/>
          <w:trHeight w:val="24"/>
          <w:jc w:val="center"/>
        </w:trPr>
        <w:tc>
          <w:tcPr>
            <w:tcW w:w="3065" w:type="dxa"/>
            <w:tcMar>
              <w:top w:w="144" w:type="dxa"/>
              <w:left w:w="120" w:type="dxa"/>
              <w:bottom w:w="0" w:type="dxa"/>
              <w:right w:w="120" w:type="dxa"/>
            </w:tcMar>
            <w:hideMark/>
          </w:tcPr>
          <w:p w14:paraId="1D35CAE3" w14:textId="08EDA95D" w:rsidR="004B7F43" w:rsidRPr="00C46BEA" w:rsidRDefault="004B7F43" w:rsidP="005A226F">
            <w:pPr>
              <w:rPr>
                <w:b/>
              </w:rPr>
            </w:pPr>
            <w:r>
              <w:rPr>
                <w:b/>
              </w:rPr>
              <w:t>Mitch Carmody</w:t>
            </w:r>
          </w:p>
        </w:tc>
        <w:tc>
          <w:tcPr>
            <w:tcW w:w="2081" w:type="dxa"/>
            <w:tcMar>
              <w:top w:w="144" w:type="dxa"/>
              <w:left w:w="120" w:type="dxa"/>
              <w:bottom w:w="0" w:type="dxa"/>
              <w:right w:w="120" w:type="dxa"/>
            </w:tcMar>
            <w:hideMark/>
          </w:tcPr>
          <w:p w14:paraId="33B5385D" w14:textId="77777777" w:rsidR="004B7F43" w:rsidRPr="00C46BEA" w:rsidRDefault="004B7F43" w:rsidP="005A226F">
            <w:pPr>
              <w:rPr>
                <w:b/>
              </w:rPr>
            </w:pPr>
            <w:r w:rsidRPr="00C46BEA">
              <w:rPr>
                <w:b/>
              </w:rPr>
              <w:t>Board member</w:t>
            </w:r>
          </w:p>
        </w:tc>
        <w:tc>
          <w:tcPr>
            <w:tcW w:w="1379" w:type="dxa"/>
            <w:tcMar>
              <w:top w:w="144" w:type="dxa"/>
              <w:left w:w="120" w:type="dxa"/>
              <w:bottom w:w="0" w:type="dxa"/>
              <w:right w:w="120" w:type="dxa"/>
            </w:tcMar>
            <w:hideMark/>
          </w:tcPr>
          <w:p w14:paraId="4A400FB7" w14:textId="77777777" w:rsidR="004B7F43" w:rsidRPr="00C46BEA" w:rsidRDefault="004B7F43" w:rsidP="005A226F">
            <w:pPr>
              <w:rPr>
                <w:b/>
              </w:rPr>
            </w:pPr>
            <w:r w:rsidRPr="00C46BEA">
              <w:rPr>
                <w:b/>
              </w:rPr>
              <w:t>Voted</w:t>
            </w:r>
          </w:p>
        </w:tc>
        <w:tc>
          <w:tcPr>
            <w:tcW w:w="1379" w:type="dxa"/>
            <w:tcMar>
              <w:top w:w="144" w:type="dxa"/>
              <w:left w:w="120" w:type="dxa"/>
              <w:bottom w:w="0" w:type="dxa"/>
              <w:right w:w="120" w:type="dxa"/>
            </w:tcMar>
            <w:hideMark/>
          </w:tcPr>
          <w:p w14:paraId="16A7C7B5" w14:textId="77777777" w:rsidR="004B7F43" w:rsidRPr="00C46BEA" w:rsidRDefault="004B7F43" w:rsidP="005A226F">
            <w:pPr>
              <w:rPr>
                <w:b/>
              </w:rPr>
            </w:pPr>
            <w:r w:rsidRPr="00C46BEA">
              <w:rPr>
                <w:b/>
              </w:rPr>
              <w:t>Yes</w:t>
            </w:r>
          </w:p>
        </w:tc>
      </w:tr>
      <w:tr w:rsidR="004B7F43" w:rsidRPr="00C46BEA" w14:paraId="17F0DEE9" w14:textId="77777777" w:rsidTr="005A226F">
        <w:trPr>
          <w:cantSplit/>
          <w:trHeight w:val="428"/>
          <w:jc w:val="center"/>
        </w:trPr>
        <w:tc>
          <w:tcPr>
            <w:tcW w:w="3065" w:type="dxa"/>
            <w:tcMar>
              <w:top w:w="144" w:type="dxa"/>
              <w:left w:w="120" w:type="dxa"/>
              <w:bottom w:w="0" w:type="dxa"/>
              <w:right w:w="120" w:type="dxa"/>
            </w:tcMar>
          </w:tcPr>
          <w:p w14:paraId="06540345" w14:textId="563A751B" w:rsidR="004B7F43" w:rsidRPr="00C46BEA" w:rsidRDefault="004B7F43" w:rsidP="005A226F">
            <w:pPr>
              <w:rPr>
                <w:b/>
              </w:rPr>
            </w:pPr>
            <w:r>
              <w:rPr>
                <w:b/>
              </w:rPr>
              <w:t>Bénédicte Doran</w:t>
            </w:r>
          </w:p>
        </w:tc>
        <w:tc>
          <w:tcPr>
            <w:tcW w:w="2081" w:type="dxa"/>
            <w:tcMar>
              <w:top w:w="144" w:type="dxa"/>
              <w:left w:w="120" w:type="dxa"/>
              <w:bottom w:w="0" w:type="dxa"/>
              <w:right w:w="120" w:type="dxa"/>
            </w:tcMar>
          </w:tcPr>
          <w:p w14:paraId="600E1122" w14:textId="77777777" w:rsidR="004B7F43" w:rsidRPr="00C46BEA" w:rsidRDefault="004B7F43" w:rsidP="005A226F">
            <w:pPr>
              <w:rPr>
                <w:b/>
              </w:rPr>
            </w:pPr>
            <w:r>
              <w:rPr>
                <w:b/>
              </w:rPr>
              <w:t>Board member</w:t>
            </w:r>
          </w:p>
        </w:tc>
        <w:tc>
          <w:tcPr>
            <w:tcW w:w="1379" w:type="dxa"/>
            <w:tcMar>
              <w:top w:w="144" w:type="dxa"/>
              <w:left w:w="120" w:type="dxa"/>
              <w:bottom w:w="0" w:type="dxa"/>
              <w:right w:w="120" w:type="dxa"/>
            </w:tcMar>
          </w:tcPr>
          <w:p w14:paraId="16B41F7E" w14:textId="77777777" w:rsidR="004B7F43" w:rsidRPr="00C46BEA" w:rsidRDefault="004B7F43" w:rsidP="005A226F">
            <w:pPr>
              <w:rPr>
                <w:b/>
              </w:rPr>
            </w:pPr>
            <w:r w:rsidRPr="00C46BEA">
              <w:rPr>
                <w:b/>
              </w:rPr>
              <w:t>Voted</w:t>
            </w:r>
          </w:p>
        </w:tc>
        <w:tc>
          <w:tcPr>
            <w:tcW w:w="1379" w:type="dxa"/>
            <w:tcMar>
              <w:top w:w="144" w:type="dxa"/>
              <w:left w:w="120" w:type="dxa"/>
              <w:bottom w:w="0" w:type="dxa"/>
              <w:right w:w="120" w:type="dxa"/>
            </w:tcMar>
          </w:tcPr>
          <w:p w14:paraId="1728EBF5" w14:textId="77777777" w:rsidR="004B7F43" w:rsidRPr="00C46BEA" w:rsidRDefault="004B7F43" w:rsidP="005A226F">
            <w:pPr>
              <w:rPr>
                <w:b/>
              </w:rPr>
            </w:pPr>
            <w:r>
              <w:rPr>
                <w:b/>
              </w:rPr>
              <w:t>Yes</w:t>
            </w:r>
          </w:p>
        </w:tc>
      </w:tr>
      <w:tr w:rsidR="004B7F43" w14:paraId="6A158F31" w14:textId="77777777" w:rsidTr="005A226F">
        <w:trPr>
          <w:cantSplit/>
          <w:trHeight w:val="428"/>
          <w:jc w:val="center"/>
        </w:trPr>
        <w:tc>
          <w:tcPr>
            <w:tcW w:w="3065" w:type="dxa"/>
            <w:tcMar>
              <w:top w:w="144" w:type="dxa"/>
              <w:left w:w="120" w:type="dxa"/>
              <w:bottom w:w="0" w:type="dxa"/>
              <w:right w:w="120" w:type="dxa"/>
            </w:tcMar>
          </w:tcPr>
          <w:p w14:paraId="0EA4605F" w14:textId="60C5FFE0" w:rsidR="004B7F43" w:rsidRDefault="004B7F43" w:rsidP="005A226F">
            <w:pPr>
              <w:rPr>
                <w:b/>
              </w:rPr>
            </w:pPr>
            <w:r>
              <w:rPr>
                <w:b/>
              </w:rPr>
              <w:t>Carol Schattner</w:t>
            </w:r>
          </w:p>
        </w:tc>
        <w:tc>
          <w:tcPr>
            <w:tcW w:w="2081" w:type="dxa"/>
            <w:tcMar>
              <w:top w:w="144" w:type="dxa"/>
              <w:left w:w="120" w:type="dxa"/>
              <w:bottom w:w="0" w:type="dxa"/>
              <w:right w:w="120" w:type="dxa"/>
            </w:tcMar>
          </w:tcPr>
          <w:p w14:paraId="5311DA2D" w14:textId="77777777" w:rsidR="004B7F43" w:rsidRDefault="004B7F43" w:rsidP="005A226F">
            <w:pPr>
              <w:rPr>
                <w:b/>
              </w:rPr>
            </w:pPr>
            <w:r>
              <w:rPr>
                <w:b/>
              </w:rPr>
              <w:t>Board member</w:t>
            </w:r>
          </w:p>
        </w:tc>
        <w:tc>
          <w:tcPr>
            <w:tcW w:w="1379" w:type="dxa"/>
            <w:tcMar>
              <w:top w:w="144" w:type="dxa"/>
              <w:left w:w="120" w:type="dxa"/>
              <w:bottom w:w="0" w:type="dxa"/>
              <w:right w:w="120" w:type="dxa"/>
            </w:tcMar>
          </w:tcPr>
          <w:p w14:paraId="6EEBDCFE" w14:textId="77777777" w:rsidR="004B7F43" w:rsidRDefault="004B7F43" w:rsidP="005A226F">
            <w:pPr>
              <w:rPr>
                <w:b/>
              </w:rPr>
            </w:pPr>
            <w:r>
              <w:rPr>
                <w:b/>
              </w:rPr>
              <w:t>Voted</w:t>
            </w:r>
          </w:p>
        </w:tc>
        <w:tc>
          <w:tcPr>
            <w:tcW w:w="1379" w:type="dxa"/>
            <w:tcMar>
              <w:top w:w="144" w:type="dxa"/>
              <w:left w:w="120" w:type="dxa"/>
              <w:bottom w:w="0" w:type="dxa"/>
              <w:right w:w="120" w:type="dxa"/>
            </w:tcMar>
          </w:tcPr>
          <w:p w14:paraId="6989E4A5" w14:textId="77777777" w:rsidR="004B7F43" w:rsidRDefault="004B7F43" w:rsidP="005A226F">
            <w:pPr>
              <w:rPr>
                <w:b/>
              </w:rPr>
            </w:pPr>
            <w:r>
              <w:rPr>
                <w:b/>
              </w:rPr>
              <w:t>Yes</w:t>
            </w:r>
          </w:p>
        </w:tc>
      </w:tr>
      <w:tr w:rsidR="004B7F43" w:rsidRPr="00C46BEA" w14:paraId="4EEDB65D" w14:textId="77777777" w:rsidTr="005A226F">
        <w:trPr>
          <w:cantSplit/>
          <w:trHeight w:val="428"/>
          <w:jc w:val="center"/>
        </w:trPr>
        <w:tc>
          <w:tcPr>
            <w:tcW w:w="3065" w:type="dxa"/>
            <w:tcMar>
              <w:top w:w="144" w:type="dxa"/>
              <w:left w:w="120" w:type="dxa"/>
              <w:bottom w:w="0" w:type="dxa"/>
              <w:right w:w="120" w:type="dxa"/>
            </w:tcMar>
            <w:hideMark/>
          </w:tcPr>
          <w:p w14:paraId="5823314D" w14:textId="77777777" w:rsidR="004B7F43" w:rsidRPr="00C46BEA" w:rsidRDefault="004B7F43" w:rsidP="005A226F">
            <w:pPr>
              <w:rPr>
                <w:b/>
              </w:rPr>
            </w:pPr>
            <w:r>
              <w:rPr>
                <w:b/>
              </w:rPr>
              <w:t>John Elleman</w:t>
            </w:r>
          </w:p>
        </w:tc>
        <w:tc>
          <w:tcPr>
            <w:tcW w:w="2081" w:type="dxa"/>
            <w:tcMar>
              <w:top w:w="144" w:type="dxa"/>
              <w:left w:w="120" w:type="dxa"/>
              <w:bottom w:w="0" w:type="dxa"/>
              <w:right w:w="120" w:type="dxa"/>
            </w:tcMar>
            <w:hideMark/>
          </w:tcPr>
          <w:p w14:paraId="59274365" w14:textId="77777777" w:rsidR="004B7F43" w:rsidRPr="00C46BEA" w:rsidRDefault="004B7F43" w:rsidP="005A226F">
            <w:pPr>
              <w:rPr>
                <w:b/>
              </w:rPr>
            </w:pPr>
            <w:r>
              <w:rPr>
                <w:b/>
              </w:rPr>
              <w:t>Chairperson</w:t>
            </w:r>
          </w:p>
        </w:tc>
        <w:tc>
          <w:tcPr>
            <w:tcW w:w="1379" w:type="dxa"/>
            <w:tcMar>
              <w:top w:w="144" w:type="dxa"/>
              <w:left w:w="120" w:type="dxa"/>
              <w:bottom w:w="0" w:type="dxa"/>
              <w:right w:w="120" w:type="dxa"/>
            </w:tcMar>
            <w:hideMark/>
          </w:tcPr>
          <w:p w14:paraId="52514D29" w14:textId="77777777" w:rsidR="004B7F43" w:rsidRPr="00C46BEA" w:rsidRDefault="004B7F43" w:rsidP="005A226F">
            <w:pPr>
              <w:rPr>
                <w:b/>
              </w:rPr>
            </w:pPr>
            <w:r>
              <w:rPr>
                <w:b/>
              </w:rPr>
              <w:t>Voted</w:t>
            </w:r>
          </w:p>
        </w:tc>
        <w:tc>
          <w:tcPr>
            <w:tcW w:w="1379" w:type="dxa"/>
            <w:tcMar>
              <w:top w:w="144" w:type="dxa"/>
              <w:left w:w="120" w:type="dxa"/>
              <w:bottom w:w="0" w:type="dxa"/>
              <w:right w:w="120" w:type="dxa"/>
            </w:tcMar>
            <w:hideMark/>
          </w:tcPr>
          <w:p w14:paraId="140A0513" w14:textId="77777777" w:rsidR="004B7F43" w:rsidRDefault="004B7F43" w:rsidP="005A226F">
            <w:pPr>
              <w:rPr>
                <w:b/>
              </w:rPr>
            </w:pPr>
            <w:r>
              <w:rPr>
                <w:b/>
              </w:rPr>
              <w:t>Yes</w:t>
            </w:r>
          </w:p>
          <w:p w14:paraId="5F7161F2" w14:textId="77777777" w:rsidR="004B7F43" w:rsidRDefault="004B7F43" w:rsidP="00391E5D">
            <w:pPr>
              <w:spacing w:after="0"/>
              <w:rPr>
                <w:b/>
              </w:rPr>
            </w:pPr>
          </w:p>
          <w:p w14:paraId="1BC77C06" w14:textId="77777777" w:rsidR="004B7F43" w:rsidRPr="00C46BEA" w:rsidRDefault="004B7F43" w:rsidP="005A226F">
            <w:pPr>
              <w:jc w:val="both"/>
              <w:rPr>
                <w:b/>
              </w:rPr>
            </w:pPr>
          </w:p>
        </w:tc>
      </w:tr>
    </w:tbl>
    <w:p w14:paraId="1E48DA46" w14:textId="01F7A85F" w:rsidR="004B7F43" w:rsidRDefault="00F85A40" w:rsidP="00F85A40">
      <w:pPr>
        <w:spacing w:after="0"/>
      </w:pPr>
      <w:r>
        <w:t>The meeting concluded at 7:20p.m.</w:t>
      </w:r>
    </w:p>
    <w:p w14:paraId="175962FB" w14:textId="77777777" w:rsidR="00967827" w:rsidRDefault="00967827" w:rsidP="00967827">
      <w:pPr>
        <w:pStyle w:val="NoSpacing"/>
        <w:rPr>
          <w:rFonts w:eastAsia="Garamond"/>
        </w:rPr>
      </w:pPr>
      <w:r>
        <w:rPr>
          <w:rFonts w:eastAsia="Garamond"/>
        </w:rPr>
        <w:t>Respectfully Submitted,</w:t>
      </w:r>
    </w:p>
    <w:p w14:paraId="23CECBA9" w14:textId="77777777" w:rsidR="00967827" w:rsidRDefault="00967827" w:rsidP="00967827">
      <w:pPr>
        <w:pStyle w:val="NoSpacing"/>
        <w:rPr>
          <w:rFonts w:eastAsia="Garamond"/>
        </w:rPr>
      </w:pPr>
    </w:p>
    <w:p w14:paraId="2BEDF001" w14:textId="77777777" w:rsidR="00967827" w:rsidRDefault="00967827" w:rsidP="00967827">
      <w:pPr>
        <w:pStyle w:val="NoSpacing"/>
        <w:rPr>
          <w:rFonts w:ascii="STXingkai" w:eastAsia="STXingkai" w:hAnsi="STXingkai" w:cs="STXingkai"/>
          <w:sz w:val="40"/>
          <w:szCs w:val="40"/>
        </w:rPr>
      </w:pPr>
      <w:r w:rsidRPr="00693BC1">
        <w:rPr>
          <w:rFonts w:ascii="STXingkai" w:eastAsia="STXingkai" w:hAnsi="STXingkai" w:cs="STXingkai"/>
          <w:sz w:val="40"/>
          <w:szCs w:val="40"/>
        </w:rPr>
        <w:t>Victoria Rogers</w:t>
      </w:r>
      <w:r>
        <w:rPr>
          <w:rFonts w:ascii="STXingkai" w:eastAsia="STXingkai" w:hAnsi="STXingkai" w:cs="STXingkai"/>
          <w:sz w:val="40"/>
          <w:szCs w:val="40"/>
        </w:rPr>
        <w:t xml:space="preserve"> </w:t>
      </w:r>
    </w:p>
    <w:p w14:paraId="5B36F500" w14:textId="5CC27ACD" w:rsidR="00967827" w:rsidRPr="009F0951" w:rsidRDefault="00967827" w:rsidP="00967827">
      <w:pPr>
        <w:pStyle w:val="NoSpacing"/>
        <w:rPr>
          <w:rFonts w:ascii="STXingkai" w:eastAsia="STXingkai" w:hAnsi="STXingkai" w:cs="STXingkai"/>
          <w:sz w:val="40"/>
          <w:szCs w:val="40"/>
        </w:rPr>
      </w:pPr>
      <w:r>
        <w:rPr>
          <w:rFonts w:asciiTheme="majorHAnsi" w:eastAsia="STXingkai" w:hAnsiTheme="majorHAnsi" w:cs="STXingkai"/>
        </w:rPr>
        <w:t>Secretary</w:t>
      </w:r>
    </w:p>
    <w:p w14:paraId="6BF5BCE1" w14:textId="77777777" w:rsidR="00967827" w:rsidRPr="00F85A40" w:rsidRDefault="00967827" w:rsidP="00F85A40">
      <w:pPr>
        <w:spacing w:after="0"/>
      </w:pPr>
    </w:p>
    <w:sectPr w:rsidR="00967827" w:rsidRPr="00F85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STXingkai">
    <w:charset w:val="86"/>
    <w:family w:val="auto"/>
    <w:pitch w:val="variable"/>
    <w:sig w:usb0="00000001" w:usb1="080F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01E"/>
    <w:rsid w:val="002A7696"/>
    <w:rsid w:val="00375A9C"/>
    <w:rsid w:val="00391E5D"/>
    <w:rsid w:val="004879A3"/>
    <w:rsid w:val="004B7F43"/>
    <w:rsid w:val="004D001E"/>
    <w:rsid w:val="00967827"/>
    <w:rsid w:val="00AD5FDA"/>
    <w:rsid w:val="00F85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337B8"/>
  <w15:chartTrackingRefBased/>
  <w15:docId w15:val="{44B7B327-8BF0-4010-8871-CAC514A77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01E"/>
    <w:pPr>
      <w:spacing w:line="276"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4D001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4D001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D001E"/>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D001E"/>
    <w:pPr>
      <w:keepNext/>
      <w:keepLines/>
      <w:spacing w:before="80" w:after="40" w:line="278"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4D001E"/>
    <w:pPr>
      <w:keepNext/>
      <w:keepLines/>
      <w:spacing w:before="80" w:after="40" w:line="278"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4D001E"/>
    <w:pPr>
      <w:keepNext/>
      <w:keepLines/>
      <w:spacing w:before="40" w:after="0" w:line="278"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4D001E"/>
    <w:pPr>
      <w:keepNext/>
      <w:keepLines/>
      <w:spacing w:before="40" w:after="0" w:line="278"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4D001E"/>
    <w:pPr>
      <w:keepNext/>
      <w:keepLines/>
      <w:spacing w:after="0" w:line="278"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4D001E"/>
    <w:pPr>
      <w:keepNext/>
      <w:keepLines/>
      <w:spacing w:after="0" w:line="278"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0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00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00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00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00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00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0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0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01E"/>
    <w:rPr>
      <w:rFonts w:eastAsiaTheme="majorEastAsia" w:cstheme="majorBidi"/>
      <w:color w:val="272727" w:themeColor="text1" w:themeTint="D8"/>
    </w:rPr>
  </w:style>
  <w:style w:type="paragraph" w:styleId="Title">
    <w:name w:val="Title"/>
    <w:basedOn w:val="Normal"/>
    <w:next w:val="Normal"/>
    <w:link w:val="TitleChar"/>
    <w:uiPriority w:val="10"/>
    <w:qFormat/>
    <w:rsid w:val="004D001E"/>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D00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01E"/>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D00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001E"/>
    <w:pPr>
      <w:spacing w:before="160" w:line="278"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4D001E"/>
    <w:rPr>
      <w:i/>
      <w:iCs/>
      <w:color w:val="404040" w:themeColor="text1" w:themeTint="BF"/>
    </w:rPr>
  </w:style>
  <w:style w:type="paragraph" w:styleId="ListParagraph">
    <w:name w:val="List Paragraph"/>
    <w:basedOn w:val="Normal"/>
    <w:uiPriority w:val="34"/>
    <w:qFormat/>
    <w:rsid w:val="004D001E"/>
    <w:pPr>
      <w:spacing w:line="278"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4D001E"/>
    <w:rPr>
      <w:i/>
      <w:iCs/>
      <w:color w:val="0F4761" w:themeColor="accent1" w:themeShade="BF"/>
    </w:rPr>
  </w:style>
  <w:style w:type="paragraph" w:styleId="IntenseQuote">
    <w:name w:val="Intense Quote"/>
    <w:basedOn w:val="Normal"/>
    <w:next w:val="Normal"/>
    <w:link w:val="IntenseQuoteChar"/>
    <w:uiPriority w:val="30"/>
    <w:qFormat/>
    <w:rsid w:val="004D001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4D001E"/>
    <w:rPr>
      <w:i/>
      <w:iCs/>
      <w:color w:val="0F4761" w:themeColor="accent1" w:themeShade="BF"/>
    </w:rPr>
  </w:style>
  <w:style w:type="character" w:styleId="IntenseReference">
    <w:name w:val="Intense Reference"/>
    <w:basedOn w:val="DefaultParagraphFont"/>
    <w:uiPriority w:val="32"/>
    <w:qFormat/>
    <w:rsid w:val="004D001E"/>
    <w:rPr>
      <w:b/>
      <w:bCs/>
      <w:smallCaps/>
      <w:color w:val="0F4761" w:themeColor="accent1" w:themeShade="BF"/>
      <w:spacing w:val="5"/>
    </w:rPr>
  </w:style>
  <w:style w:type="paragraph" w:styleId="NoSpacing">
    <w:name w:val="No Spacing"/>
    <w:uiPriority w:val="1"/>
    <w:qFormat/>
    <w:rsid w:val="004D001E"/>
    <w:pPr>
      <w:spacing w:after="0" w:line="240" w:lineRule="auto"/>
    </w:pPr>
    <w:rPr>
      <w:rFonts w:eastAsiaTheme="minorEastAsia"/>
      <w:kern w:val="0"/>
      <w:lang w:eastAsia="ja-JP"/>
      <w14:ligatures w14:val="none"/>
    </w:rPr>
  </w:style>
  <w:style w:type="paragraph" w:customStyle="1" w:styleId="CompanyName">
    <w:name w:val="Company Name"/>
    <w:basedOn w:val="Normal"/>
    <w:uiPriority w:val="1"/>
    <w:rsid w:val="004D001E"/>
    <w:pPr>
      <w:keepLines/>
      <w:spacing w:after="40" w:line="240" w:lineRule="atLeast"/>
      <w:jc w:val="center"/>
    </w:pPr>
    <w:rPr>
      <w:rFonts w:ascii="Garamond" w:eastAsia="Times New Roman" w:hAnsi="Garamond" w:cs="Times New Roman"/>
      <w:cap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319</TotalTime>
  <Pages>3</Pages>
  <Words>678</Words>
  <Characters>3782</Characters>
  <Application>Microsoft Office Word</Application>
  <DocSecurity>0</DocSecurity>
  <Lines>180</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Rogers</dc:creator>
  <cp:keywords/>
  <dc:description/>
  <cp:lastModifiedBy>Victoria Rogers</cp:lastModifiedBy>
  <cp:revision>2</cp:revision>
  <dcterms:created xsi:type="dcterms:W3CDTF">2026-02-26T15:03:00Z</dcterms:created>
  <dcterms:modified xsi:type="dcterms:W3CDTF">2026-02-26T20:23:00Z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2026-02-26T20:22:07Z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5f0f6a0e-cd15-4b5e-8ccc-aafc96a0d1cc</vt:lpwstr>
  </property>
  <property fmtid="{D5CDD505-2E9C-101B-9397-08002B2CF9AE}" pid="7" name="MSIP_Label_defa4170-0d19-0005-0004-bc88714345d2_ActionId">
    <vt:lpwstr>6abf7dee-b68d-4a0b-b06f-9a4fd1be9332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